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2A9" w:rsidRPr="007F12BE" w:rsidRDefault="00FD62A9" w:rsidP="00E13ED8">
      <w:pPr>
        <w:shd w:val="clear" w:color="auto" w:fill="FFFFFF"/>
        <w:spacing w:after="0" w:line="264" w:lineRule="auto"/>
        <w:jc w:val="center"/>
        <w:outlineLvl w:val="0"/>
        <w:rPr>
          <w:rFonts w:ascii="Times New Roman" w:eastAsia="Times New Roman" w:hAnsi="Times New Roman" w:cs="Times New Roman"/>
          <w:b/>
          <w:color w:val="121212"/>
          <w:kern w:val="36"/>
          <w:sz w:val="28"/>
          <w:szCs w:val="28"/>
        </w:rPr>
      </w:pPr>
      <w:bookmarkStart w:id="0" w:name="_GoBack"/>
      <w:bookmarkEnd w:id="0"/>
      <w:r w:rsidRPr="007F12BE">
        <w:rPr>
          <w:rFonts w:ascii="Times New Roman" w:eastAsia="Times New Roman" w:hAnsi="Times New Roman" w:cs="Times New Roman"/>
          <w:b/>
          <w:color w:val="121212"/>
          <w:kern w:val="36"/>
          <w:sz w:val="28"/>
          <w:szCs w:val="28"/>
        </w:rPr>
        <w:t>ẢNH HƯỞNG PHƠI NHIỄM SÓNG ĐIỆN TỪ</w:t>
      </w:r>
    </w:p>
    <w:p w:rsidR="002D153C" w:rsidRPr="007F12BE" w:rsidRDefault="00FD62A9" w:rsidP="00E13ED8">
      <w:pPr>
        <w:shd w:val="clear" w:color="auto" w:fill="FFFFFF"/>
        <w:spacing w:after="0" w:line="264" w:lineRule="auto"/>
        <w:jc w:val="center"/>
        <w:outlineLvl w:val="0"/>
        <w:rPr>
          <w:rFonts w:ascii="Times New Roman" w:eastAsia="Times New Roman" w:hAnsi="Times New Roman" w:cs="Times New Roman"/>
          <w:b/>
          <w:color w:val="121212"/>
          <w:kern w:val="36"/>
          <w:sz w:val="28"/>
          <w:szCs w:val="28"/>
        </w:rPr>
      </w:pPr>
      <w:r w:rsidRPr="007F12BE">
        <w:rPr>
          <w:rFonts w:ascii="Times New Roman" w:eastAsia="Times New Roman" w:hAnsi="Times New Roman" w:cs="Times New Roman"/>
          <w:b/>
          <w:color w:val="121212"/>
          <w:kern w:val="36"/>
          <w:sz w:val="28"/>
          <w:szCs w:val="28"/>
        </w:rPr>
        <w:t>CỦA CÁC TRẠM BTS</w:t>
      </w:r>
    </w:p>
    <w:p w:rsidR="002D153C" w:rsidRPr="007F12BE" w:rsidRDefault="002D153C" w:rsidP="00E13ED8">
      <w:pPr>
        <w:spacing w:after="0" w:line="264" w:lineRule="auto"/>
        <w:jc w:val="both"/>
        <w:rPr>
          <w:rFonts w:ascii="Times New Roman" w:eastAsia="Times New Roman" w:hAnsi="Times New Roman" w:cs="Times New Roman"/>
          <w:b/>
          <w:color w:val="121212"/>
          <w:kern w:val="36"/>
          <w:sz w:val="28"/>
          <w:szCs w:val="28"/>
        </w:rPr>
      </w:pPr>
    </w:p>
    <w:p w:rsidR="00E529EC" w:rsidRPr="00270A41" w:rsidRDefault="00AA44F7" w:rsidP="00AA44F7">
      <w:pPr>
        <w:spacing w:after="0" w:line="264" w:lineRule="auto"/>
        <w:jc w:val="both"/>
        <w:rPr>
          <w:rFonts w:ascii="Times New Roman" w:eastAsia="Times New Roman" w:hAnsi="Times New Roman" w:cs="Times New Roman"/>
          <w:b/>
          <w:color w:val="121212"/>
          <w:kern w:val="36"/>
          <w:sz w:val="28"/>
          <w:szCs w:val="28"/>
        </w:rPr>
      </w:pPr>
      <w:r w:rsidRPr="00270A41">
        <w:rPr>
          <w:rFonts w:ascii="Times New Roman" w:eastAsia="Times New Roman" w:hAnsi="Times New Roman" w:cs="Times New Roman"/>
          <w:b/>
          <w:color w:val="121212"/>
          <w:kern w:val="36"/>
          <w:sz w:val="28"/>
          <w:szCs w:val="28"/>
        </w:rPr>
        <w:t>I-</w:t>
      </w:r>
      <w:r w:rsidRPr="00270A41">
        <w:rPr>
          <w:rFonts w:ascii="Times New Roman" w:eastAsia="Times New Roman" w:hAnsi="Times New Roman" w:cs="Times New Roman"/>
          <w:b/>
          <w:color w:val="121212"/>
          <w:kern w:val="36"/>
          <w:sz w:val="28"/>
          <w:szCs w:val="28"/>
        </w:rPr>
        <w:tab/>
      </w:r>
      <w:r w:rsidR="00E529EC" w:rsidRPr="00270A41">
        <w:rPr>
          <w:rFonts w:ascii="Times New Roman" w:eastAsia="Times New Roman" w:hAnsi="Times New Roman" w:cs="Times New Roman"/>
          <w:b/>
          <w:color w:val="121212"/>
          <w:kern w:val="36"/>
          <w:sz w:val="28"/>
          <w:szCs w:val="28"/>
        </w:rPr>
        <w:t>TỔNG QUAN VỀ PHƠI NHIỄM TRƯỜNG ĐIỆN TỬ</w:t>
      </w:r>
    </w:p>
    <w:p w:rsidR="001E1BF6" w:rsidRDefault="00270A41" w:rsidP="000B6635">
      <w:pPr>
        <w:spacing w:after="24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Trường điện từ được ứng dụng đa dạng trong nhiều lĩnh vực như : Phát thanh FM/AM, truyền hình, các mạng thông tin di động với nhiều công nghệ khác nhau như GSM, CDMA, WLAN, Bluetooth, Zigbee, WiFi, WiMax… Các ứng dụng này có thể triển khai ở các băng tần khác nhau như VHF, UHF, L, S …</w:t>
      </w:r>
      <w:r w:rsidR="001E1BF6">
        <w:rPr>
          <w:rFonts w:ascii="Times New Roman" w:eastAsia="Times New Roman" w:hAnsi="Times New Roman" w:cs="Times New Roman"/>
          <w:color w:val="121212"/>
          <w:kern w:val="36"/>
          <w:sz w:val="28"/>
          <w:szCs w:val="28"/>
        </w:rPr>
        <w:t xml:space="preserve"> </w:t>
      </w:r>
    </w:p>
    <w:p w:rsidR="001E1BF6" w:rsidRDefault="001E1BF6" w:rsidP="001E1BF6">
      <w:pPr>
        <w:spacing w:after="0" w:line="264" w:lineRule="auto"/>
        <w:jc w:val="center"/>
        <w:rPr>
          <w:rFonts w:ascii="Times New Roman" w:eastAsia="Times New Roman" w:hAnsi="Times New Roman" w:cs="Times New Roman"/>
          <w:color w:val="121212"/>
          <w:kern w:val="36"/>
          <w:sz w:val="28"/>
          <w:szCs w:val="28"/>
        </w:rPr>
      </w:pPr>
      <w:r>
        <w:rPr>
          <w:rFonts w:ascii="Times New Roman" w:eastAsia="Times New Roman" w:hAnsi="Times New Roman" w:cs="Times New Roman"/>
          <w:noProof/>
          <w:color w:val="121212"/>
          <w:kern w:val="36"/>
          <w:sz w:val="28"/>
          <w:szCs w:val="28"/>
          <w:lang w:val="vi-VN" w:eastAsia="vi-VN"/>
        </w:rPr>
        <w:drawing>
          <wp:inline distT="0" distB="0" distL="0" distR="0">
            <wp:extent cx="3333605" cy="24669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1_Hinh.01.jpg"/>
                    <pic:cNvPicPr/>
                  </pic:nvPicPr>
                  <pic:blipFill>
                    <a:blip r:embed="rId7">
                      <a:extLst>
                        <a:ext uri="{28A0092B-C50C-407E-A947-70E740481C1C}">
                          <a14:useLocalDpi xmlns:a14="http://schemas.microsoft.com/office/drawing/2010/main" val="0"/>
                        </a:ext>
                      </a:extLst>
                    </a:blip>
                    <a:stretch>
                      <a:fillRect/>
                    </a:stretch>
                  </pic:blipFill>
                  <pic:spPr>
                    <a:xfrm>
                      <a:off x="0" y="0"/>
                      <a:ext cx="3367862" cy="2492326"/>
                    </a:xfrm>
                    <a:prstGeom prst="rect">
                      <a:avLst/>
                    </a:prstGeom>
                  </pic:spPr>
                </pic:pic>
              </a:graphicData>
            </a:graphic>
          </wp:inline>
        </w:drawing>
      </w:r>
    </w:p>
    <w:p w:rsidR="00270A41" w:rsidRDefault="001E1BF6" w:rsidP="000B6635">
      <w:pPr>
        <w:spacing w:before="240" w:after="24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Vùng ảnh hưởng phơi nhiễm được xác định xung quanh các anten phát. Các ứng dụng thường hoạt động trong các dải tần và có công suất như bảng dưới đây.</w:t>
      </w:r>
    </w:p>
    <w:p w:rsidR="007F12BE" w:rsidRDefault="001E1BF6" w:rsidP="001E1BF6">
      <w:pPr>
        <w:spacing w:after="0" w:line="264" w:lineRule="auto"/>
        <w:jc w:val="center"/>
        <w:rPr>
          <w:rFonts w:ascii="Times New Roman" w:eastAsia="Times New Roman" w:hAnsi="Times New Roman" w:cs="Times New Roman"/>
          <w:color w:val="121212"/>
          <w:kern w:val="36"/>
          <w:sz w:val="28"/>
          <w:szCs w:val="28"/>
        </w:rPr>
      </w:pPr>
      <w:r>
        <w:rPr>
          <w:rFonts w:ascii="Times New Roman" w:eastAsia="Times New Roman" w:hAnsi="Times New Roman" w:cs="Times New Roman"/>
          <w:noProof/>
          <w:color w:val="121212"/>
          <w:kern w:val="36"/>
          <w:sz w:val="28"/>
          <w:szCs w:val="28"/>
          <w:lang w:val="vi-VN" w:eastAsia="vi-VN"/>
        </w:rPr>
        <w:drawing>
          <wp:inline distT="0" distB="0" distL="0" distR="0">
            <wp:extent cx="3083441" cy="227260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2_Bang.01.jpg"/>
                    <pic:cNvPicPr/>
                  </pic:nvPicPr>
                  <pic:blipFill>
                    <a:blip r:embed="rId8">
                      <a:extLst>
                        <a:ext uri="{28A0092B-C50C-407E-A947-70E740481C1C}">
                          <a14:useLocalDpi xmlns:a14="http://schemas.microsoft.com/office/drawing/2010/main" val="0"/>
                        </a:ext>
                      </a:extLst>
                    </a:blip>
                    <a:stretch>
                      <a:fillRect/>
                    </a:stretch>
                  </pic:blipFill>
                  <pic:spPr>
                    <a:xfrm>
                      <a:off x="0" y="0"/>
                      <a:ext cx="3143888" cy="2317160"/>
                    </a:xfrm>
                    <a:prstGeom prst="rect">
                      <a:avLst/>
                    </a:prstGeom>
                  </pic:spPr>
                </pic:pic>
              </a:graphicData>
            </a:graphic>
          </wp:inline>
        </w:drawing>
      </w:r>
    </w:p>
    <w:p w:rsidR="00CF59D3" w:rsidRDefault="00690FDF" w:rsidP="000B6635">
      <w:pPr>
        <w:spacing w:before="240"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Về an toàn phơi nhiễm, các B</w:t>
      </w:r>
      <w:r w:rsidR="001E1BF6" w:rsidRPr="001E1BF6">
        <w:rPr>
          <w:rFonts w:ascii="Times New Roman" w:eastAsia="Times New Roman" w:hAnsi="Times New Roman" w:cs="Times New Roman"/>
          <w:color w:val="121212"/>
          <w:kern w:val="36"/>
          <w:sz w:val="28"/>
          <w:szCs w:val="28"/>
        </w:rPr>
        <w:t xml:space="preserve">ức xạ EMF được chia thành hai </w:t>
      </w:r>
      <w:r>
        <w:rPr>
          <w:rFonts w:ascii="Times New Roman" w:eastAsia="Times New Roman" w:hAnsi="Times New Roman" w:cs="Times New Roman"/>
          <w:color w:val="121212"/>
          <w:kern w:val="36"/>
          <w:sz w:val="28"/>
          <w:szCs w:val="28"/>
        </w:rPr>
        <w:t>nhóm</w:t>
      </w:r>
      <w:r w:rsidR="00CF59D3">
        <w:rPr>
          <w:rFonts w:ascii="Times New Roman" w:eastAsia="Times New Roman" w:hAnsi="Times New Roman" w:cs="Times New Roman"/>
          <w:color w:val="121212"/>
          <w:kern w:val="36"/>
          <w:sz w:val="28"/>
          <w:szCs w:val="28"/>
        </w:rPr>
        <w:t xml:space="preserve"> : </w:t>
      </w:r>
      <w:r>
        <w:rPr>
          <w:rFonts w:ascii="Times New Roman" w:eastAsia="Times New Roman" w:hAnsi="Times New Roman" w:cs="Times New Roman"/>
          <w:color w:val="121212"/>
          <w:kern w:val="36"/>
          <w:sz w:val="28"/>
          <w:szCs w:val="28"/>
        </w:rPr>
        <w:t>B</w:t>
      </w:r>
      <w:r w:rsidR="00CF59D3">
        <w:rPr>
          <w:rFonts w:ascii="Times New Roman" w:eastAsia="Times New Roman" w:hAnsi="Times New Roman" w:cs="Times New Roman"/>
          <w:color w:val="121212"/>
          <w:kern w:val="36"/>
          <w:sz w:val="28"/>
          <w:szCs w:val="28"/>
        </w:rPr>
        <w:t>ức xạ</w:t>
      </w:r>
      <w:r w:rsidR="001E1BF6" w:rsidRPr="001E1BF6">
        <w:rPr>
          <w:rFonts w:ascii="Times New Roman" w:eastAsia="Times New Roman" w:hAnsi="Times New Roman" w:cs="Times New Roman"/>
          <w:color w:val="121212"/>
          <w:kern w:val="36"/>
          <w:sz w:val="28"/>
          <w:szCs w:val="28"/>
        </w:rPr>
        <w:t xml:space="preserve"> ion hóa và </w:t>
      </w:r>
      <w:r>
        <w:rPr>
          <w:rFonts w:ascii="Times New Roman" w:eastAsia="Times New Roman" w:hAnsi="Times New Roman" w:cs="Times New Roman"/>
          <w:color w:val="121212"/>
          <w:kern w:val="36"/>
          <w:sz w:val="28"/>
          <w:szCs w:val="28"/>
        </w:rPr>
        <w:t>B</w:t>
      </w:r>
      <w:r w:rsidR="00CF59D3">
        <w:rPr>
          <w:rFonts w:ascii="Times New Roman" w:eastAsia="Times New Roman" w:hAnsi="Times New Roman" w:cs="Times New Roman"/>
          <w:color w:val="121212"/>
          <w:kern w:val="36"/>
          <w:sz w:val="28"/>
          <w:szCs w:val="28"/>
        </w:rPr>
        <w:t>ức xạ phi</w:t>
      </w:r>
      <w:r w:rsidR="001E1BF6" w:rsidRPr="001E1BF6">
        <w:rPr>
          <w:rFonts w:ascii="Times New Roman" w:eastAsia="Times New Roman" w:hAnsi="Times New Roman" w:cs="Times New Roman"/>
          <w:color w:val="121212"/>
          <w:kern w:val="36"/>
          <w:sz w:val="28"/>
          <w:szCs w:val="28"/>
        </w:rPr>
        <w:t xml:space="preserve"> ion hóa. </w:t>
      </w:r>
    </w:p>
    <w:p w:rsidR="001E1BF6" w:rsidRPr="001E1BF6" w:rsidRDefault="001E1BF6" w:rsidP="001E1BF6">
      <w:pPr>
        <w:spacing w:after="0" w:line="264" w:lineRule="auto"/>
        <w:ind w:firstLine="567"/>
        <w:jc w:val="both"/>
        <w:rPr>
          <w:rFonts w:ascii="Times New Roman" w:eastAsia="Times New Roman" w:hAnsi="Times New Roman" w:cs="Times New Roman"/>
          <w:color w:val="121212"/>
          <w:kern w:val="36"/>
          <w:sz w:val="28"/>
          <w:szCs w:val="28"/>
        </w:rPr>
      </w:pPr>
      <w:r w:rsidRPr="00CF59D3">
        <w:rPr>
          <w:rFonts w:ascii="Times New Roman" w:eastAsia="Times New Roman" w:hAnsi="Times New Roman" w:cs="Times New Roman"/>
          <w:i/>
          <w:color w:val="121212"/>
          <w:kern w:val="36"/>
          <w:sz w:val="28"/>
          <w:szCs w:val="28"/>
        </w:rPr>
        <w:t>Bức xạ ion hóa</w:t>
      </w:r>
      <w:r w:rsidRPr="001E1BF6">
        <w:rPr>
          <w:rFonts w:ascii="Times New Roman" w:eastAsia="Times New Roman" w:hAnsi="Times New Roman" w:cs="Times New Roman"/>
          <w:color w:val="121212"/>
          <w:kern w:val="36"/>
          <w:sz w:val="28"/>
          <w:szCs w:val="28"/>
        </w:rPr>
        <w:t xml:space="preserve"> là bức xạ điện từ </w:t>
      </w:r>
      <w:r w:rsidR="00CF59D3">
        <w:rPr>
          <w:rFonts w:ascii="Times New Roman" w:eastAsia="Times New Roman" w:hAnsi="Times New Roman" w:cs="Times New Roman"/>
          <w:color w:val="121212"/>
          <w:kern w:val="36"/>
          <w:sz w:val="28"/>
          <w:szCs w:val="28"/>
        </w:rPr>
        <w:t xml:space="preserve">mà </w:t>
      </w:r>
      <w:r w:rsidRPr="001E1BF6">
        <w:rPr>
          <w:rFonts w:ascii="Times New Roman" w:eastAsia="Times New Roman" w:hAnsi="Times New Roman" w:cs="Times New Roman"/>
          <w:color w:val="121212"/>
          <w:kern w:val="36"/>
          <w:sz w:val="28"/>
          <w:szCs w:val="28"/>
        </w:rPr>
        <w:t xml:space="preserve">năng lượng </w:t>
      </w:r>
      <w:r w:rsidR="00CF59D3">
        <w:rPr>
          <w:rFonts w:ascii="Times New Roman" w:eastAsia="Times New Roman" w:hAnsi="Times New Roman" w:cs="Times New Roman"/>
          <w:color w:val="121212"/>
          <w:kern w:val="36"/>
          <w:sz w:val="28"/>
          <w:szCs w:val="28"/>
        </w:rPr>
        <w:t xml:space="preserve">sóng </w:t>
      </w:r>
      <w:r w:rsidRPr="001E1BF6">
        <w:rPr>
          <w:rFonts w:ascii="Times New Roman" w:eastAsia="Times New Roman" w:hAnsi="Times New Roman" w:cs="Times New Roman"/>
          <w:color w:val="121212"/>
          <w:kern w:val="36"/>
          <w:sz w:val="28"/>
          <w:szCs w:val="28"/>
        </w:rPr>
        <w:t xml:space="preserve">đủ để </w:t>
      </w:r>
      <w:r w:rsidR="00CF59D3">
        <w:rPr>
          <w:rFonts w:ascii="Times New Roman" w:eastAsia="Times New Roman" w:hAnsi="Times New Roman" w:cs="Times New Roman"/>
          <w:color w:val="121212"/>
          <w:kern w:val="36"/>
          <w:sz w:val="28"/>
          <w:szCs w:val="28"/>
        </w:rPr>
        <w:t>phá võ liên kết</w:t>
      </w:r>
      <w:r w:rsidRPr="001E1BF6">
        <w:rPr>
          <w:rFonts w:ascii="Times New Roman" w:eastAsia="Times New Roman" w:hAnsi="Times New Roman" w:cs="Times New Roman"/>
          <w:color w:val="121212"/>
          <w:kern w:val="36"/>
          <w:sz w:val="28"/>
          <w:szCs w:val="28"/>
        </w:rPr>
        <w:t xml:space="preserve"> của các electron trong nguyên tử hoặc phân tử, do đó tạo ra các ion. </w:t>
      </w:r>
      <w:r w:rsidR="00CF59D3">
        <w:rPr>
          <w:rFonts w:ascii="Times New Roman" w:eastAsia="Times New Roman" w:hAnsi="Times New Roman" w:cs="Times New Roman"/>
          <w:color w:val="121212"/>
          <w:kern w:val="36"/>
          <w:sz w:val="28"/>
          <w:szCs w:val="28"/>
        </w:rPr>
        <w:t>V</w:t>
      </w:r>
      <w:r w:rsidRPr="001E1BF6">
        <w:rPr>
          <w:rFonts w:ascii="Times New Roman" w:eastAsia="Times New Roman" w:hAnsi="Times New Roman" w:cs="Times New Roman"/>
          <w:color w:val="121212"/>
          <w:kern w:val="36"/>
          <w:sz w:val="28"/>
          <w:szCs w:val="28"/>
        </w:rPr>
        <w:t>í dụ</w:t>
      </w:r>
      <w:r w:rsidR="00CF59D3">
        <w:rPr>
          <w:rFonts w:ascii="Times New Roman" w:eastAsia="Times New Roman" w:hAnsi="Times New Roman" w:cs="Times New Roman"/>
          <w:color w:val="121212"/>
          <w:kern w:val="36"/>
          <w:sz w:val="28"/>
          <w:szCs w:val="28"/>
        </w:rPr>
        <w:t xml:space="preserve"> :</w:t>
      </w:r>
      <w:r w:rsidRPr="001E1BF6">
        <w:rPr>
          <w:rFonts w:ascii="Times New Roman" w:eastAsia="Times New Roman" w:hAnsi="Times New Roman" w:cs="Times New Roman"/>
          <w:color w:val="121212"/>
          <w:kern w:val="36"/>
          <w:sz w:val="28"/>
          <w:szCs w:val="28"/>
        </w:rPr>
        <w:t xml:space="preserve"> Tia cực tím, tia X, tia gamma và tia vũ trụ như trong hình 1.2 dưới đây.</w:t>
      </w:r>
      <w:r w:rsidR="000B6635">
        <w:rPr>
          <w:rFonts w:ascii="Times New Roman" w:eastAsia="Times New Roman" w:hAnsi="Times New Roman" w:cs="Times New Roman"/>
          <w:color w:val="121212"/>
          <w:kern w:val="36"/>
          <w:sz w:val="28"/>
          <w:szCs w:val="28"/>
        </w:rPr>
        <w:t xml:space="preserve"> Các bức xạ này làm ion hóa các nguyên tử, phân tử là nguyên nhân gây ra ung thư.</w:t>
      </w:r>
    </w:p>
    <w:p w:rsidR="001E1BF6" w:rsidRDefault="001E1BF6" w:rsidP="001E1BF6">
      <w:pPr>
        <w:spacing w:after="0" w:line="264" w:lineRule="auto"/>
        <w:ind w:firstLine="567"/>
        <w:jc w:val="both"/>
        <w:rPr>
          <w:rFonts w:ascii="Times New Roman" w:eastAsia="Times New Roman" w:hAnsi="Times New Roman" w:cs="Times New Roman"/>
          <w:color w:val="121212"/>
          <w:kern w:val="36"/>
          <w:sz w:val="28"/>
          <w:szCs w:val="28"/>
        </w:rPr>
      </w:pPr>
      <w:r w:rsidRPr="00CF59D3">
        <w:rPr>
          <w:rFonts w:ascii="Times New Roman" w:eastAsia="Times New Roman" w:hAnsi="Times New Roman" w:cs="Times New Roman"/>
          <w:i/>
          <w:color w:val="121212"/>
          <w:kern w:val="36"/>
          <w:sz w:val="28"/>
          <w:szCs w:val="28"/>
        </w:rPr>
        <w:lastRenderedPageBreak/>
        <w:t xml:space="preserve">Bức xạ </w:t>
      </w:r>
      <w:r w:rsidR="00CF59D3" w:rsidRPr="00CF59D3">
        <w:rPr>
          <w:rFonts w:ascii="Times New Roman" w:eastAsia="Times New Roman" w:hAnsi="Times New Roman" w:cs="Times New Roman"/>
          <w:i/>
          <w:color w:val="121212"/>
          <w:kern w:val="36"/>
          <w:sz w:val="28"/>
          <w:szCs w:val="28"/>
        </w:rPr>
        <w:t>phi</w:t>
      </w:r>
      <w:r w:rsidRPr="00CF59D3">
        <w:rPr>
          <w:rFonts w:ascii="Times New Roman" w:eastAsia="Times New Roman" w:hAnsi="Times New Roman" w:cs="Times New Roman"/>
          <w:i/>
          <w:color w:val="121212"/>
          <w:kern w:val="36"/>
          <w:sz w:val="28"/>
          <w:szCs w:val="28"/>
        </w:rPr>
        <w:t xml:space="preserve"> ion hóa</w:t>
      </w:r>
      <w:r w:rsidRPr="001E1BF6">
        <w:rPr>
          <w:rFonts w:ascii="Times New Roman" w:eastAsia="Times New Roman" w:hAnsi="Times New Roman" w:cs="Times New Roman"/>
          <w:color w:val="121212"/>
          <w:kern w:val="36"/>
          <w:sz w:val="28"/>
          <w:szCs w:val="28"/>
        </w:rPr>
        <w:t xml:space="preserve"> </w:t>
      </w:r>
      <w:r w:rsidR="00CF59D3">
        <w:rPr>
          <w:rFonts w:ascii="Times New Roman" w:eastAsia="Times New Roman" w:hAnsi="Times New Roman" w:cs="Times New Roman"/>
          <w:color w:val="121212"/>
          <w:kern w:val="36"/>
          <w:sz w:val="28"/>
          <w:szCs w:val="28"/>
        </w:rPr>
        <w:t xml:space="preserve">là bức xạ điện từ mà năng lượng sóng không </w:t>
      </w:r>
      <w:r w:rsidRPr="001E1BF6">
        <w:rPr>
          <w:rFonts w:ascii="Times New Roman" w:eastAsia="Times New Roman" w:hAnsi="Times New Roman" w:cs="Times New Roman"/>
          <w:color w:val="121212"/>
          <w:kern w:val="36"/>
          <w:sz w:val="28"/>
          <w:szCs w:val="28"/>
        </w:rPr>
        <w:t>đủ năng lượng để ion h</w:t>
      </w:r>
      <w:r w:rsidR="00CF59D3">
        <w:rPr>
          <w:rFonts w:ascii="Times New Roman" w:eastAsia="Times New Roman" w:hAnsi="Times New Roman" w:cs="Times New Roman"/>
          <w:color w:val="121212"/>
          <w:kern w:val="36"/>
          <w:sz w:val="28"/>
          <w:szCs w:val="28"/>
        </w:rPr>
        <w:t>óa các nguyên tử hoặc phân tử. V</w:t>
      </w:r>
      <w:r w:rsidRPr="001E1BF6">
        <w:rPr>
          <w:rFonts w:ascii="Times New Roman" w:eastAsia="Times New Roman" w:hAnsi="Times New Roman" w:cs="Times New Roman"/>
          <w:color w:val="121212"/>
          <w:kern w:val="36"/>
          <w:sz w:val="28"/>
          <w:szCs w:val="28"/>
        </w:rPr>
        <w:t>í dụ</w:t>
      </w:r>
      <w:r w:rsidR="00CF59D3">
        <w:rPr>
          <w:rFonts w:ascii="Times New Roman" w:eastAsia="Times New Roman" w:hAnsi="Times New Roman" w:cs="Times New Roman"/>
          <w:color w:val="121212"/>
          <w:kern w:val="36"/>
          <w:sz w:val="28"/>
          <w:szCs w:val="28"/>
        </w:rPr>
        <w:t xml:space="preserve"> :</w:t>
      </w:r>
      <w:r w:rsidRPr="001E1BF6">
        <w:rPr>
          <w:rFonts w:ascii="Times New Roman" w:eastAsia="Times New Roman" w:hAnsi="Times New Roman" w:cs="Times New Roman"/>
          <w:color w:val="121212"/>
          <w:kern w:val="36"/>
          <w:sz w:val="28"/>
          <w:szCs w:val="28"/>
        </w:rPr>
        <w:t xml:space="preserve"> bức xạ tần số thấp như sóng vô tuyến, sóng vi ba và bức xạ hồng ngoại như trong hình 1.2 dưới đây.</w:t>
      </w:r>
      <w:r w:rsidR="000B6635">
        <w:rPr>
          <w:rFonts w:ascii="Times New Roman" w:eastAsia="Times New Roman" w:hAnsi="Times New Roman" w:cs="Times New Roman"/>
          <w:color w:val="121212"/>
          <w:kern w:val="36"/>
          <w:sz w:val="28"/>
          <w:szCs w:val="28"/>
        </w:rPr>
        <w:t xml:space="preserve"> Các ứng dụng sóng vô tuyến trong thông tin và truyền thông đều là các bức xạ phi ion hóa, không gây ra các hiện tượng ion hóa, nghĩa là không gây ra ung thư.</w:t>
      </w:r>
    </w:p>
    <w:p w:rsidR="00270A41" w:rsidRDefault="000B6635" w:rsidP="000B6635">
      <w:pPr>
        <w:spacing w:after="0" w:line="264" w:lineRule="auto"/>
        <w:jc w:val="center"/>
        <w:rPr>
          <w:rFonts w:ascii="Times New Roman" w:eastAsia="Times New Roman" w:hAnsi="Times New Roman" w:cs="Times New Roman"/>
          <w:color w:val="121212"/>
          <w:kern w:val="36"/>
          <w:sz w:val="28"/>
          <w:szCs w:val="28"/>
        </w:rPr>
      </w:pPr>
      <w:r>
        <w:rPr>
          <w:rFonts w:ascii="Times New Roman" w:eastAsia="Times New Roman" w:hAnsi="Times New Roman" w:cs="Times New Roman"/>
          <w:noProof/>
          <w:color w:val="121212"/>
          <w:kern w:val="36"/>
          <w:sz w:val="28"/>
          <w:szCs w:val="28"/>
          <w:lang w:val="vi-VN" w:eastAsia="vi-VN"/>
        </w:rPr>
        <w:drawing>
          <wp:inline distT="0" distB="0" distL="0" distR="0">
            <wp:extent cx="4171950" cy="2529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1_Hinh.02.jpg"/>
                    <pic:cNvPicPr/>
                  </pic:nvPicPr>
                  <pic:blipFill>
                    <a:blip r:embed="rId9">
                      <a:extLst>
                        <a:ext uri="{28A0092B-C50C-407E-A947-70E740481C1C}">
                          <a14:useLocalDpi xmlns:a14="http://schemas.microsoft.com/office/drawing/2010/main" val="0"/>
                        </a:ext>
                      </a:extLst>
                    </a:blip>
                    <a:stretch>
                      <a:fillRect/>
                    </a:stretch>
                  </pic:blipFill>
                  <pic:spPr>
                    <a:xfrm>
                      <a:off x="0" y="0"/>
                      <a:ext cx="4187099" cy="2538690"/>
                    </a:xfrm>
                    <a:prstGeom prst="rect">
                      <a:avLst/>
                    </a:prstGeom>
                  </pic:spPr>
                </pic:pic>
              </a:graphicData>
            </a:graphic>
          </wp:inline>
        </w:drawing>
      </w:r>
    </w:p>
    <w:p w:rsidR="00826FD1" w:rsidRDefault="003F7C50" w:rsidP="00826FD1">
      <w:pPr>
        <w:spacing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 xml:space="preserve">Các bức xạ phi ion hóa chủ yếu gây ra các hiệu ứng nhiệt. </w:t>
      </w:r>
      <w:r w:rsidR="00826FD1" w:rsidRPr="00826FD1">
        <w:rPr>
          <w:rFonts w:ascii="Times New Roman" w:eastAsia="Times New Roman" w:hAnsi="Times New Roman" w:cs="Times New Roman"/>
          <w:color w:val="121212"/>
          <w:kern w:val="36"/>
          <w:sz w:val="28"/>
          <w:szCs w:val="28"/>
        </w:rPr>
        <w:t xml:space="preserve">Trong khi sử dụng điện thoại di động, hầu hết các hiệu ứng làm nóng xảy ra ở đầu, khiến nhiệt độ của nó tăng </w:t>
      </w:r>
      <w:r>
        <w:rPr>
          <w:rFonts w:ascii="Times New Roman" w:eastAsia="Times New Roman" w:hAnsi="Times New Roman" w:cs="Times New Roman"/>
          <w:color w:val="121212"/>
          <w:kern w:val="36"/>
          <w:sz w:val="28"/>
          <w:szCs w:val="28"/>
        </w:rPr>
        <w:t xml:space="preserve">lên và </w:t>
      </w:r>
      <w:r w:rsidR="00826FD1" w:rsidRPr="00826FD1">
        <w:rPr>
          <w:rFonts w:ascii="Times New Roman" w:eastAsia="Times New Roman" w:hAnsi="Times New Roman" w:cs="Times New Roman"/>
          <w:color w:val="121212"/>
          <w:kern w:val="36"/>
          <w:sz w:val="28"/>
          <w:szCs w:val="28"/>
        </w:rPr>
        <w:t>có thể dẫn đến tăng nhiệt độ cơ thể.</w:t>
      </w:r>
    </w:p>
    <w:p w:rsidR="003F7C50" w:rsidRDefault="007100A4" w:rsidP="007100A4">
      <w:pPr>
        <w:spacing w:after="0" w:line="264" w:lineRule="auto"/>
        <w:jc w:val="center"/>
        <w:rPr>
          <w:rFonts w:ascii="Times New Roman" w:eastAsia="Times New Roman" w:hAnsi="Times New Roman" w:cs="Times New Roman"/>
          <w:color w:val="121212"/>
          <w:kern w:val="36"/>
          <w:sz w:val="28"/>
          <w:szCs w:val="28"/>
        </w:rPr>
      </w:pPr>
      <w:r>
        <w:rPr>
          <w:rFonts w:ascii="Times New Roman" w:eastAsia="Times New Roman" w:hAnsi="Times New Roman" w:cs="Times New Roman"/>
          <w:noProof/>
          <w:color w:val="121212"/>
          <w:kern w:val="36"/>
          <w:sz w:val="28"/>
          <w:szCs w:val="28"/>
          <w:lang w:val="vi-VN" w:eastAsia="vi-VN"/>
        </w:rPr>
        <w:drawing>
          <wp:inline distT="0" distB="0" distL="0" distR="0">
            <wp:extent cx="4448175" cy="481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2_Bang.04.jpg"/>
                    <pic:cNvPicPr/>
                  </pic:nvPicPr>
                  <pic:blipFill>
                    <a:blip r:embed="rId10">
                      <a:extLst>
                        <a:ext uri="{28A0092B-C50C-407E-A947-70E740481C1C}">
                          <a14:useLocalDpi xmlns:a14="http://schemas.microsoft.com/office/drawing/2010/main" val="0"/>
                        </a:ext>
                      </a:extLst>
                    </a:blip>
                    <a:stretch>
                      <a:fillRect/>
                    </a:stretch>
                  </pic:blipFill>
                  <pic:spPr>
                    <a:xfrm>
                      <a:off x="0" y="0"/>
                      <a:ext cx="4448175" cy="4810125"/>
                    </a:xfrm>
                    <a:prstGeom prst="rect">
                      <a:avLst/>
                    </a:prstGeom>
                  </pic:spPr>
                </pic:pic>
              </a:graphicData>
            </a:graphic>
          </wp:inline>
        </w:drawing>
      </w:r>
    </w:p>
    <w:p w:rsidR="003F7C50" w:rsidRPr="003F7C50" w:rsidRDefault="003F7C50" w:rsidP="003F7C50">
      <w:pPr>
        <w:spacing w:after="0" w:line="264" w:lineRule="auto"/>
        <w:ind w:firstLine="567"/>
        <w:jc w:val="both"/>
        <w:rPr>
          <w:rFonts w:ascii="Times New Roman" w:eastAsia="Times New Roman" w:hAnsi="Times New Roman" w:cs="Times New Roman"/>
          <w:color w:val="121212"/>
          <w:kern w:val="36"/>
          <w:sz w:val="28"/>
          <w:szCs w:val="28"/>
        </w:rPr>
      </w:pPr>
      <w:r w:rsidRPr="003F7C50">
        <w:rPr>
          <w:rFonts w:ascii="Times New Roman" w:eastAsia="Times New Roman" w:hAnsi="Times New Roman" w:cs="Times New Roman" w:hint="eastAsia"/>
          <w:color w:val="121212"/>
          <w:kern w:val="36"/>
          <w:sz w:val="28"/>
          <w:szCs w:val="28"/>
        </w:rPr>
        <w:lastRenderedPageBreak/>
        <w:t>Các nước căn cứ vào môi trường tự nhiên và đặc điểm sinh lý của cư dân mà đưa ra các quy định khác nhau về mức giới hạn an toàn phơi nhiễm. Mức an toàn phơi nhiễm đối với dịch vụ di động băng tần 1800MHz của các nước thay đổi từ 0,001W/m</w:t>
      </w:r>
      <w:r w:rsidRPr="003F7C50">
        <w:rPr>
          <w:rFonts w:ascii="Times New Roman" w:eastAsia="Times New Roman" w:hAnsi="Times New Roman" w:cs="Times New Roman" w:hint="eastAsia"/>
          <w:color w:val="121212"/>
          <w:kern w:val="36"/>
          <w:sz w:val="28"/>
          <w:szCs w:val="28"/>
          <w:vertAlign w:val="superscript"/>
        </w:rPr>
        <w:t>2</w:t>
      </w:r>
      <w:r w:rsidRPr="003F7C50">
        <w:rPr>
          <w:rFonts w:ascii="Times New Roman" w:eastAsia="Times New Roman" w:hAnsi="Times New Roman" w:cs="Times New Roman" w:hint="eastAsia"/>
          <w:color w:val="121212"/>
          <w:kern w:val="36"/>
          <w:sz w:val="28"/>
          <w:szCs w:val="28"/>
        </w:rPr>
        <w:t xml:space="preserve"> đến 12W/m</w:t>
      </w:r>
      <w:r w:rsidRPr="003F7C50">
        <w:rPr>
          <w:rFonts w:ascii="Times New Roman" w:eastAsia="Times New Roman" w:hAnsi="Times New Roman" w:cs="Times New Roman" w:hint="eastAsia"/>
          <w:color w:val="121212"/>
          <w:kern w:val="36"/>
          <w:sz w:val="28"/>
          <w:szCs w:val="28"/>
          <w:vertAlign w:val="superscript"/>
        </w:rPr>
        <w:t>2</w:t>
      </w:r>
      <w:r w:rsidRPr="003F7C50">
        <w:rPr>
          <w:rFonts w:ascii="Times New Roman" w:eastAsia="Times New Roman" w:hAnsi="Times New Roman" w:cs="Times New Roman" w:hint="eastAsia"/>
          <w:color w:val="121212"/>
          <w:kern w:val="36"/>
          <w:sz w:val="28"/>
          <w:szCs w:val="28"/>
        </w:rPr>
        <w:t xml:space="preserve">. Cụ thể mức giới hạn an toàn phơi nhiễm của một số nước như bảng </w:t>
      </w:r>
      <w:r>
        <w:rPr>
          <w:rFonts w:ascii="Times New Roman" w:eastAsia="Times New Roman" w:hAnsi="Times New Roman" w:cs="Times New Roman"/>
          <w:color w:val="121212"/>
          <w:kern w:val="36"/>
          <w:sz w:val="28"/>
          <w:szCs w:val="28"/>
        </w:rPr>
        <w:t>trên</w:t>
      </w:r>
      <w:r w:rsidRPr="003F7C50">
        <w:rPr>
          <w:rFonts w:ascii="Times New Roman" w:eastAsia="Times New Roman" w:hAnsi="Times New Roman" w:cs="Times New Roman" w:hint="eastAsia"/>
          <w:color w:val="121212"/>
          <w:kern w:val="36"/>
          <w:sz w:val="28"/>
          <w:szCs w:val="28"/>
        </w:rPr>
        <w:t xml:space="preserve"> đây.</w:t>
      </w:r>
      <w:r>
        <w:rPr>
          <w:rFonts w:ascii="Times New Roman" w:eastAsia="Times New Roman" w:hAnsi="Times New Roman" w:cs="Times New Roman"/>
          <w:color w:val="121212"/>
          <w:kern w:val="36"/>
          <w:sz w:val="28"/>
          <w:szCs w:val="28"/>
        </w:rPr>
        <w:t xml:space="preserve"> Đối với Việt Nam theo tiêu chuẩn TCVN 3718-1:2005, mức an toàn phơi nhiễm quy định là 2W/m</w:t>
      </w:r>
      <w:r w:rsidRPr="003F7C50">
        <w:rPr>
          <w:rFonts w:ascii="Times New Roman" w:eastAsia="Times New Roman" w:hAnsi="Times New Roman" w:cs="Times New Roman"/>
          <w:color w:val="121212"/>
          <w:kern w:val="36"/>
          <w:sz w:val="28"/>
          <w:szCs w:val="28"/>
          <w:vertAlign w:val="superscript"/>
        </w:rPr>
        <w:t>2</w:t>
      </w:r>
      <w:r>
        <w:rPr>
          <w:rFonts w:ascii="Times New Roman" w:eastAsia="Times New Roman" w:hAnsi="Times New Roman" w:cs="Times New Roman"/>
          <w:color w:val="121212"/>
          <w:kern w:val="36"/>
          <w:sz w:val="28"/>
          <w:szCs w:val="28"/>
        </w:rPr>
        <w:t>.</w:t>
      </w:r>
    </w:p>
    <w:p w:rsidR="00E529EC" w:rsidRPr="003F7C50" w:rsidRDefault="00AA44F7" w:rsidP="003F7C50">
      <w:pPr>
        <w:spacing w:before="240" w:after="0" w:line="264" w:lineRule="auto"/>
        <w:jc w:val="both"/>
        <w:rPr>
          <w:rFonts w:ascii="Times New Roman" w:eastAsia="Times New Roman" w:hAnsi="Times New Roman" w:cs="Times New Roman"/>
          <w:b/>
          <w:color w:val="121212"/>
          <w:kern w:val="36"/>
          <w:sz w:val="28"/>
          <w:szCs w:val="28"/>
        </w:rPr>
      </w:pPr>
      <w:r w:rsidRPr="003F7C50">
        <w:rPr>
          <w:rFonts w:ascii="Times New Roman" w:eastAsia="Times New Roman" w:hAnsi="Times New Roman" w:cs="Times New Roman"/>
          <w:b/>
          <w:color w:val="121212"/>
          <w:kern w:val="36"/>
          <w:sz w:val="28"/>
          <w:szCs w:val="28"/>
        </w:rPr>
        <w:t>II-</w:t>
      </w:r>
      <w:r w:rsidRPr="003F7C50">
        <w:rPr>
          <w:rFonts w:ascii="Times New Roman" w:eastAsia="Times New Roman" w:hAnsi="Times New Roman" w:cs="Times New Roman"/>
          <w:b/>
          <w:color w:val="121212"/>
          <w:kern w:val="36"/>
          <w:sz w:val="28"/>
          <w:szCs w:val="28"/>
        </w:rPr>
        <w:tab/>
      </w:r>
      <w:r w:rsidR="007100A4">
        <w:rPr>
          <w:rFonts w:ascii="Times New Roman" w:eastAsia="Times New Roman" w:hAnsi="Times New Roman" w:cs="Times New Roman"/>
          <w:b/>
          <w:color w:val="121212"/>
          <w:kern w:val="36"/>
          <w:sz w:val="28"/>
          <w:szCs w:val="28"/>
        </w:rPr>
        <w:t>HƯỚNG DẪN AN TOÀN PHƠI NHIỄM</w:t>
      </w:r>
    </w:p>
    <w:p w:rsidR="00B511A6" w:rsidRPr="00E13ED8" w:rsidRDefault="00B511A6" w:rsidP="00B511A6">
      <w:pPr>
        <w:spacing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 xml:space="preserve">Trong thời gian qua, nhiều </w:t>
      </w:r>
      <w:r w:rsidRPr="003F2A02">
        <w:rPr>
          <w:rFonts w:ascii="Times New Roman" w:eastAsia="Times New Roman" w:hAnsi="Times New Roman" w:cs="Times New Roman"/>
          <w:color w:val="121212"/>
          <w:kern w:val="36"/>
          <w:sz w:val="28"/>
          <w:szCs w:val="28"/>
        </w:rPr>
        <w:t xml:space="preserve">nghiên cứu </w:t>
      </w:r>
      <w:r>
        <w:rPr>
          <w:rFonts w:ascii="Times New Roman" w:eastAsia="Times New Roman" w:hAnsi="Times New Roman" w:cs="Times New Roman"/>
          <w:color w:val="121212"/>
          <w:kern w:val="36"/>
          <w:sz w:val="28"/>
          <w:szCs w:val="28"/>
        </w:rPr>
        <w:t xml:space="preserve">của các nhà khoa học hoặc các tổ chức quốc tế, tổ chức của chính phủ hoặc phi chính phủ </w:t>
      </w:r>
      <w:r w:rsidRPr="003F2A02">
        <w:rPr>
          <w:rFonts w:ascii="Times New Roman" w:eastAsia="Times New Roman" w:hAnsi="Times New Roman" w:cs="Times New Roman"/>
          <w:color w:val="121212"/>
          <w:kern w:val="36"/>
          <w:sz w:val="28"/>
          <w:szCs w:val="28"/>
        </w:rPr>
        <w:t xml:space="preserve">đã được thực hiện để đánh giá liệu </w:t>
      </w:r>
      <w:r>
        <w:rPr>
          <w:rFonts w:ascii="Times New Roman" w:eastAsia="Times New Roman" w:hAnsi="Times New Roman" w:cs="Times New Roman"/>
          <w:color w:val="121212"/>
          <w:kern w:val="36"/>
          <w:sz w:val="28"/>
          <w:szCs w:val="28"/>
        </w:rPr>
        <w:t>sóng điện từ cho các trạm BTS điệ</w:t>
      </w:r>
      <w:r w:rsidRPr="003F2A02">
        <w:rPr>
          <w:rFonts w:ascii="Times New Roman" w:eastAsia="Times New Roman" w:hAnsi="Times New Roman" w:cs="Times New Roman"/>
          <w:color w:val="121212"/>
          <w:kern w:val="36"/>
          <w:sz w:val="28"/>
          <w:szCs w:val="28"/>
        </w:rPr>
        <w:t xml:space="preserve">n thoại di động có gây nguy cơ sức khỏe tiềm ẩn hay không. </w:t>
      </w:r>
      <w:r>
        <w:rPr>
          <w:rFonts w:ascii="Times New Roman" w:eastAsia="Times New Roman" w:hAnsi="Times New Roman" w:cs="Times New Roman"/>
          <w:color w:val="121212"/>
          <w:kern w:val="36"/>
          <w:sz w:val="28"/>
          <w:szCs w:val="28"/>
        </w:rPr>
        <w:t>Theo WHO</w:t>
      </w:r>
      <w:r>
        <w:rPr>
          <w:rStyle w:val="FootnoteReference"/>
          <w:rFonts w:ascii="Times New Roman" w:eastAsia="Times New Roman" w:hAnsi="Times New Roman" w:cs="Times New Roman"/>
          <w:color w:val="121212"/>
          <w:kern w:val="36"/>
          <w:sz w:val="28"/>
          <w:szCs w:val="28"/>
        </w:rPr>
        <w:footnoteReference w:id="1"/>
      </w:r>
      <w:r>
        <w:rPr>
          <w:rFonts w:ascii="Times New Roman" w:eastAsia="Times New Roman" w:hAnsi="Times New Roman" w:cs="Times New Roman"/>
          <w:color w:val="121212"/>
          <w:kern w:val="36"/>
          <w:sz w:val="28"/>
          <w:szCs w:val="28"/>
        </w:rPr>
        <w:t xml:space="preserve"> c</w:t>
      </w:r>
      <w:r w:rsidRPr="003F2A02">
        <w:rPr>
          <w:rFonts w:ascii="Times New Roman" w:eastAsia="Times New Roman" w:hAnsi="Times New Roman" w:cs="Times New Roman"/>
          <w:color w:val="121212"/>
          <w:kern w:val="36"/>
          <w:sz w:val="28"/>
          <w:szCs w:val="28"/>
        </w:rPr>
        <w:t xml:space="preserve">ho </w:t>
      </w:r>
      <w:r>
        <w:rPr>
          <w:rFonts w:ascii="Times New Roman" w:eastAsia="Times New Roman" w:hAnsi="Times New Roman" w:cs="Times New Roman"/>
          <w:color w:val="121212"/>
          <w:kern w:val="36"/>
          <w:sz w:val="28"/>
          <w:szCs w:val="28"/>
        </w:rPr>
        <w:t>biết “</w:t>
      </w:r>
      <w:r w:rsidRPr="003F2A02">
        <w:rPr>
          <w:rFonts w:ascii="Times New Roman" w:eastAsia="Times New Roman" w:hAnsi="Times New Roman" w:cs="Times New Roman"/>
          <w:color w:val="121212"/>
          <w:kern w:val="36"/>
          <w:sz w:val="28"/>
          <w:szCs w:val="28"/>
        </w:rPr>
        <w:t>đến nay không có tác động bất lợi nào đối với sức khỏe được xác định là do sử dụng điện thoại di động</w:t>
      </w:r>
      <w:r>
        <w:rPr>
          <w:rFonts w:ascii="Times New Roman" w:eastAsia="Times New Roman" w:hAnsi="Times New Roman" w:cs="Times New Roman"/>
          <w:color w:val="121212"/>
          <w:kern w:val="36"/>
          <w:sz w:val="28"/>
          <w:szCs w:val="28"/>
        </w:rPr>
        <w:t>”</w:t>
      </w:r>
      <w:r w:rsidRPr="003F2A02">
        <w:rPr>
          <w:rFonts w:ascii="Times New Roman" w:eastAsia="Times New Roman" w:hAnsi="Times New Roman" w:cs="Times New Roman"/>
          <w:color w:val="121212"/>
          <w:kern w:val="36"/>
          <w:sz w:val="28"/>
          <w:szCs w:val="28"/>
        </w:rPr>
        <w:t>.</w:t>
      </w:r>
    </w:p>
    <w:p w:rsidR="00A33A22" w:rsidRDefault="00A33A22" w:rsidP="00A33A22">
      <w:pPr>
        <w:spacing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 xml:space="preserve">Đầu năm 2020, Ủy ban </w:t>
      </w:r>
      <w:r w:rsidRPr="00E13ED8">
        <w:rPr>
          <w:rFonts w:ascii="Times New Roman" w:eastAsia="Times New Roman" w:hAnsi="Times New Roman" w:cs="Times New Roman"/>
          <w:color w:val="121212"/>
          <w:kern w:val="36"/>
          <w:sz w:val="28"/>
          <w:szCs w:val="28"/>
        </w:rPr>
        <w:t>quốc tế về bảo vệ bức xạ không ion hóa (ICNIRP)</w:t>
      </w:r>
      <w:r>
        <w:rPr>
          <w:rStyle w:val="FootnoteReference"/>
          <w:rFonts w:ascii="Times New Roman" w:eastAsia="Times New Roman" w:hAnsi="Times New Roman" w:cs="Times New Roman"/>
          <w:color w:val="121212"/>
          <w:kern w:val="36"/>
          <w:sz w:val="28"/>
          <w:szCs w:val="28"/>
        </w:rPr>
        <w:footnoteReference w:id="2"/>
      </w:r>
      <w:r w:rsidRPr="00E13ED8">
        <w:rPr>
          <w:rFonts w:ascii="Times New Roman" w:eastAsia="Times New Roman" w:hAnsi="Times New Roman" w:cs="Times New Roman"/>
          <w:color w:val="121212"/>
          <w:kern w:val="36"/>
          <w:sz w:val="28"/>
          <w:szCs w:val="28"/>
        </w:rPr>
        <w:t>, cơ quan khoa học có trụ sở tại Đức, đã phát hành phiên bản cập nhật của tài liệu Hướng dẫn giới hạn phơi nhiễm trường điện từ dải tần từ 100kHz đến 300GHz</w:t>
      </w:r>
      <w:r>
        <w:rPr>
          <w:rStyle w:val="FootnoteReference"/>
          <w:rFonts w:ascii="Times New Roman" w:eastAsia="Times New Roman" w:hAnsi="Times New Roman" w:cs="Times New Roman"/>
          <w:color w:val="121212"/>
          <w:kern w:val="36"/>
          <w:sz w:val="28"/>
          <w:szCs w:val="28"/>
        </w:rPr>
        <w:footnoteReference w:id="3"/>
      </w:r>
      <w:r w:rsidR="000D581C">
        <w:rPr>
          <w:rFonts w:ascii="Times New Roman" w:eastAsia="Times New Roman" w:hAnsi="Times New Roman" w:cs="Times New Roman"/>
          <w:color w:val="121212"/>
          <w:kern w:val="36"/>
          <w:sz w:val="28"/>
          <w:szCs w:val="28"/>
        </w:rPr>
        <w:t xml:space="preserve"> (dải tần này bao phủ các dải tần dành cho tất cả các công nghệ di động hiện nay)</w:t>
      </w:r>
      <w:r w:rsidRPr="00E13ED8">
        <w:rPr>
          <w:rFonts w:ascii="Times New Roman" w:eastAsia="Times New Roman" w:hAnsi="Times New Roman" w:cs="Times New Roman"/>
          <w:color w:val="121212"/>
          <w:kern w:val="36"/>
          <w:sz w:val="28"/>
          <w:szCs w:val="28"/>
        </w:rPr>
        <w:t>. Theo đó ICNIRP khẳng định các giới hạn phơi nhiễm quốc tế vẫn đảm bảo sự an toàn đối với mọi người (kể cả trẻ em).</w:t>
      </w:r>
    </w:p>
    <w:p w:rsidR="007F1720" w:rsidRDefault="008E6A4A" w:rsidP="00E13ED8">
      <w:pPr>
        <w:spacing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Theo WHO, mức độ phơi nhiễm</w:t>
      </w:r>
      <w:r w:rsidR="009B70D8">
        <w:rPr>
          <w:rFonts w:ascii="Times New Roman" w:eastAsia="Times New Roman" w:hAnsi="Times New Roman" w:cs="Times New Roman"/>
          <w:color w:val="121212"/>
          <w:kern w:val="36"/>
          <w:sz w:val="28"/>
          <w:szCs w:val="28"/>
        </w:rPr>
        <w:t xml:space="preserve"> đ</w:t>
      </w:r>
      <w:r>
        <w:rPr>
          <w:rFonts w:ascii="Times New Roman" w:eastAsia="Times New Roman" w:hAnsi="Times New Roman" w:cs="Times New Roman"/>
          <w:color w:val="121212"/>
          <w:kern w:val="36"/>
          <w:sz w:val="28"/>
          <w:szCs w:val="28"/>
        </w:rPr>
        <w:t>ối với các trạm phát sóng 5G</w:t>
      </w:r>
      <w:r w:rsidR="009B70D8">
        <w:rPr>
          <w:rFonts w:ascii="Times New Roman" w:eastAsia="Times New Roman" w:hAnsi="Times New Roman" w:cs="Times New Roman"/>
          <w:color w:val="121212"/>
          <w:kern w:val="36"/>
          <w:sz w:val="28"/>
          <w:szCs w:val="28"/>
        </w:rPr>
        <w:t xml:space="preserve"> tương tự như các trạm phát sóng hiện nay</w:t>
      </w:r>
      <w:r w:rsidR="009B70D8">
        <w:rPr>
          <w:rStyle w:val="FootnoteReference"/>
          <w:rFonts w:ascii="Times New Roman" w:eastAsia="Times New Roman" w:hAnsi="Times New Roman" w:cs="Times New Roman"/>
          <w:color w:val="121212"/>
          <w:kern w:val="36"/>
          <w:sz w:val="28"/>
          <w:szCs w:val="28"/>
        </w:rPr>
        <w:footnoteReference w:id="4"/>
      </w:r>
      <w:r w:rsidR="009B70D8">
        <w:rPr>
          <w:rFonts w:ascii="Times New Roman" w:eastAsia="Times New Roman" w:hAnsi="Times New Roman" w:cs="Times New Roman"/>
          <w:color w:val="121212"/>
          <w:kern w:val="36"/>
          <w:sz w:val="28"/>
          <w:szCs w:val="28"/>
        </w:rPr>
        <w:t xml:space="preserve">. </w:t>
      </w:r>
      <w:r w:rsidR="00A33A22">
        <w:rPr>
          <w:rFonts w:ascii="Times New Roman" w:eastAsia="Times New Roman" w:hAnsi="Times New Roman" w:cs="Times New Roman"/>
          <w:color w:val="121212"/>
          <w:kern w:val="36"/>
          <w:sz w:val="28"/>
          <w:szCs w:val="28"/>
        </w:rPr>
        <w:t>Theo tài liệu về an toàn cho mạng di động 5G</w:t>
      </w:r>
      <w:r>
        <w:rPr>
          <w:rStyle w:val="FootnoteReference"/>
          <w:rFonts w:ascii="Times New Roman" w:eastAsia="Times New Roman" w:hAnsi="Times New Roman" w:cs="Times New Roman"/>
          <w:color w:val="121212"/>
          <w:kern w:val="36"/>
          <w:sz w:val="28"/>
          <w:szCs w:val="28"/>
        </w:rPr>
        <w:footnoteReference w:id="5"/>
      </w:r>
      <w:r w:rsidR="00A33A22">
        <w:rPr>
          <w:rFonts w:ascii="Times New Roman" w:eastAsia="Times New Roman" w:hAnsi="Times New Roman" w:cs="Times New Roman"/>
          <w:color w:val="121212"/>
          <w:kern w:val="36"/>
          <w:sz w:val="28"/>
          <w:szCs w:val="28"/>
        </w:rPr>
        <w:t xml:space="preserve"> của GSMA, </w:t>
      </w:r>
      <w:r w:rsidR="009B70D8">
        <w:rPr>
          <w:rFonts w:ascii="Times New Roman" w:eastAsia="Times New Roman" w:hAnsi="Times New Roman" w:cs="Times New Roman"/>
          <w:color w:val="121212"/>
          <w:kern w:val="36"/>
          <w:sz w:val="28"/>
          <w:szCs w:val="28"/>
        </w:rPr>
        <w:t>c</w:t>
      </w:r>
      <w:r>
        <w:rPr>
          <w:rFonts w:ascii="Times New Roman" w:eastAsia="Times New Roman" w:hAnsi="Times New Roman" w:cs="Times New Roman"/>
          <w:color w:val="121212"/>
          <w:kern w:val="36"/>
          <w:sz w:val="28"/>
          <w:szCs w:val="28"/>
        </w:rPr>
        <w:t>ác tổ chức về sức khỏe cộng đổng cũng đã khẳng định mạng di động 5G không gây ra các rủi ro về sức khỏe</w:t>
      </w:r>
      <w:r w:rsidR="00A33A22" w:rsidRPr="00A33A22">
        <w:rPr>
          <w:rFonts w:ascii="Times New Roman" w:eastAsia="Times New Roman" w:hAnsi="Times New Roman" w:cs="Times New Roman"/>
          <w:color w:val="121212"/>
          <w:kern w:val="36"/>
          <w:sz w:val="28"/>
          <w:szCs w:val="28"/>
        </w:rPr>
        <w:t>.</w:t>
      </w:r>
    </w:p>
    <w:p w:rsidR="007F1720" w:rsidRPr="007F12BE" w:rsidRDefault="007F1720" w:rsidP="007F1720">
      <w:pPr>
        <w:spacing w:after="0" w:line="264" w:lineRule="auto"/>
        <w:jc w:val="center"/>
        <w:rPr>
          <w:rFonts w:ascii="Times New Roman" w:eastAsia="Times New Roman" w:hAnsi="Times New Roman" w:cs="Times New Roman"/>
          <w:color w:val="121212"/>
          <w:kern w:val="36"/>
          <w:sz w:val="28"/>
          <w:szCs w:val="28"/>
        </w:rPr>
      </w:pPr>
      <w:r>
        <w:rPr>
          <w:rFonts w:ascii="Times New Roman" w:eastAsia="Times New Roman" w:hAnsi="Times New Roman" w:cs="Times New Roman"/>
          <w:noProof/>
          <w:color w:val="121212"/>
          <w:kern w:val="36"/>
          <w:sz w:val="28"/>
          <w:szCs w:val="28"/>
          <w:lang w:val="vi-VN" w:eastAsia="vi-VN"/>
        </w:rPr>
        <w:drawing>
          <wp:inline distT="0" distB="0" distL="0" distR="0">
            <wp:extent cx="5934075" cy="2038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038350"/>
                    </a:xfrm>
                    <a:prstGeom prst="rect">
                      <a:avLst/>
                    </a:prstGeom>
                    <a:noFill/>
                    <a:ln>
                      <a:noFill/>
                    </a:ln>
                  </pic:spPr>
                </pic:pic>
              </a:graphicData>
            </a:graphic>
          </wp:inline>
        </w:drawing>
      </w:r>
    </w:p>
    <w:p w:rsidR="00B511A6" w:rsidRPr="003F7C50" w:rsidRDefault="00B511A6" w:rsidP="00B511A6">
      <w:pPr>
        <w:spacing w:before="240" w:after="0" w:line="264" w:lineRule="auto"/>
        <w:jc w:val="both"/>
        <w:rPr>
          <w:rFonts w:ascii="Times New Roman" w:eastAsia="Times New Roman" w:hAnsi="Times New Roman" w:cs="Times New Roman"/>
          <w:b/>
          <w:color w:val="121212"/>
          <w:kern w:val="36"/>
          <w:sz w:val="28"/>
          <w:szCs w:val="28"/>
        </w:rPr>
      </w:pPr>
      <w:r w:rsidRPr="003F7C50">
        <w:rPr>
          <w:rFonts w:ascii="Times New Roman" w:eastAsia="Times New Roman" w:hAnsi="Times New Roman" w:cs="Times New Roman"/>
          <w:b/>
          <w:color w:val="121212"/>
          <w:kern w:val="36"/>
          <w:sz w:val="28"/>
          <w:szCs w:val="28"/>
        </w:rPr>
        <w:t>II</w:t>
      </w:r>
      <w:r>
        <w:rPr>
          <w:rFonts w:ascii="Times New Roman" w:eastAsia="Times New Roman" w:hAnsi="Times New Roman" w:cs="Times New Roman"/>
          <w:b/>
          <w:color w:val="121212"/>
          <w:kern w:val="36"/>
          <w:sz w:val="28"/>
          <w:szCs w:val="28"/>
        </w:rPr>
        <w:t>I</w:t>
      </w:r>
      <w:r w:rsidRPr="003F7C50">
        <w:rPr>
          <w:rFonts w:ascii="Times New Roman" w:eastAsia="Times New Roman" w:hAnsi="Times New Roman" w:cs="Times New Roman"/>
          <w:b/>
          <w:color w:val="121212"/>
          <w:kern w:val="36"/>
          <w:sz w:val="28"/>
          <w:szCs w:val="28"/>
        </w:rPr>
        <w:t>-</w:t>
      </w:r>
      <w:r w:rsidRPr="003F7C50">
        <w:rPr>
          <w:rFonts w:ascii="Times New Roman" w:eastAsia="Times New Roman" w:hAnsi="Times New Roman" w:cs="Times New Roman"/>
          <w:b/>
          <w:color w:val="121212"/>
          <w:kern w:val="36"/>
          <w:sz w:val="28"/>
          <w:szCs w:val="28"/>
        </w:rPr>
        <w:tab/>
      </w:r>
      <w:r>
        <w:rPr>
          <w:rFonts w:ascii="Times New Roman" w:eastAsia="Times New Roman" w:hAnsi="Times New Roman" w:cs="Times New Roman"/>
          <w:b/>
          <w:color w:val="121212"/>
          <w:kern w:val="36"/>
          <w:sz w:val="28"/>
          <w:szCs w:val="28"/>
        </w:rPr>
        <w:t>CÔNG TÁC TUYÊN TRUYỀN VỀ AN TOÀN PHƠI NHIỄM</w:t>
      </w:r>
    </w:p>
    <w:p w:rsidR="00F15F25" w:rsidRDefault="00F15F25" w:rsidP="00F15F25">
      <w:pPr>
        <w:spacing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 xml:space="preserve">Để hỗ trợ công tác tuyên truyền về an toàn phơi nhiễm của các trạm BTS, xin giới thiệu một số </w:t>
      </w:r>
      <w:r w:rsidRPr="00B511A6">
        <w:rPr>
          <w:rFonts w:ascii="Times New Roman" w:eastAsia="Times New Roman" w:hAnsi="Times New Roman" w:cs="Times New Roman"/>
          <w:color w:val="121212"/>
          <w:kern w:val="36"/>
          <w:sz w:val="28"/>
          <w:szCs w:val="28"/>
        </w:rPr>
        <w:t>clip</w:t>
      </w:r>
      <w:r>
        <w:rPr>
          <w:rFonts w:ascii="Times New Roman" w:eastAsia="Times New Roman" w:hAnsi="Times New Roman" w:cs="Times New Roman"/>
          <w:color w:val="121212"/>
          <w:kern w:val="36"/>
          <w:sz w:val="28"/>
          <w:szCs w:val="28"/>
        </w:rPr>
        <w:t xml:space="preserve"> </w:t>
      </w:r>
      <w:r w:rsidRPr="00B511A6">
        <w:rPr>
          <w:rFonts w:ascii="Times New Roman" w:eastAsia="Times New Roman" w:hAnsi="Times New Roman" w:cs="Times New Roman"/>
          <w:color w:val="121212"/>
          <w:kern w:val="36"/>
          <w:sz w:val="28"/>
          <w:szCs w:val="28"/>
        </w:rPr>
        <w:t xml:space="preserve">tuyên truyền </w:t>
      </w:r>
      <w:r>
        <w:rPr>
          <w:rFonts w:ascii="Times New Roman" w:eastAsia="Times New Roman" w:hAnsi="Times New Roman" w:cs="Times New Roman"/>
          <w:color w:val="121212"/>
          <w:kern w:val="36"/>
          <w:sz w:val="28"/>
          <w:szCs w:val="28"/>
        </w:rPr>
        <w:t>như sau :</w:t>
      </w:r>
    </w:p>
    <w:p w:rsidR="00F15F25" w:rsidRPr="000D581C" w:rsidRDefault="00F15F25" w:rsidP="00167158">
      <w:pPr>
        <w:tabs>
          <w:tab w:val="left" w:pos="851"/>
        </w:tabs>
        <w:spacing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lastRenderedPageBreak/>
        <w:t>1. Trả lời của Bộ trưởng Bộ TTTT</w:t>
      </w:r>
      <w:r w:rsidRPr="00F15F25">
        <w:rPr>
          <w:rFonts w:ascii="Times New Roman" w:eastAsia="Times New Roman" w:hAnsi="Times New Roman" w:cs="Times New Roman"/>
          <w:color w:val="121212"/>
          <w:kern w:val="36"/>
          <w:sz w:val="28"/>
          <w:szCs w:val="28"/>
        </w:rPr>
        <w:t xml:space="preserve"> về ảnh hưởng của trạm BTS đến sức khỏe tại kỳ họp thứ 6 Quốc hội khóa 12 (11/2009)</w:t>
      </w:r>
      <w:r>
        <w:rPr>
          <w:rFonts w:ascii="Times New Roman" w:eastAsia="Times New Roman" w:hAnsi="Times New Roman" w:cs="Times New Roman"/>
          <w:color w:val="121212"/>
          <w:kern w:val="36"/>
          <w:sz w:val="28"/>
          <w:szCs w:val="28"/>
        </w:rPr>
        <w:t xml:space="preserve"> </w:t>
      </w:r>
      <w:r w:rsidRPr="00F15F25">
        <w:rPr>
          <w:rFonts w:ascii="Times New Roman" w:eastAsia="Times New Roman" w:hAnsi="Times New Roman" w:cs="Times New Roman"/>
          <w:color w:val="121212"/>
          <w:kern w:val="36"/>
          <w:sz w:val="28"/>
          <w:szCs w:val="28"/>
        </w:rPr>
        <w:t xml:space="preserve">tại địa chỉ </w:t>
      </w:r>
      <w:hyperlink r:id="rId12" w:history="1">
        <w:r w:rsidRPr="000D581C">
          <w:rPr>
            <w:rFonts w:ascii="Times New Roman" w:eastAsia="Times New Roman" w:hAnsi="Times New Roman" w:cs="Times New Roman"/>
            <w:color w:val="121212"/>
            <w:kern w:val="36"/>
            <w:sz w:val="28"/>
            <w:szCs w:val="28"/>
          </w:rPr>
          <w:t>https://www.youtube.com/watch?v=z3n7jVz0lbM</w:t>
        </w:r>
      </w:hyperlink>
      <w:r w:rsidRPr="00F15F25">
        <w:rPr>
          <w:rFonts w:ascii="Times New Roman" w:eastAsia="Times New Roman" w:hAnsi="Times New Roman" w:cs="Times New Roman"/>
          <w:color w:val="121212"/>
          <w:kern w:val="36"/>
          <w:sz w:val="28"/>
          <w:szCs w:val="28"/>
        </w:rPr>
        <w:t>;</w:t>
      </w:r>
    </w:p>
    <w:p w:rsidR="00F15F25" w:rsidRPr="000D581C" w:rsidRDefault="00F15F25" w:rsidP="00167158">
      <w:pPr>
        <w:tabs>
          <w:tab w:val="left" w:pos="851"/>
        </w:tabs>
        <w:spacing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 xml:space="preserve">2. </w:t>
      </w:r>
      <w:r w:rsidRPr="00F15F25">
        <w:rPr>
          <w:rFonts w:ascii="Times New Roman" w:eastAsia="Times New Roman" w:hAnsi="Times New Roman" w:cs="Times New Roman"/>
          <w:color w:val="121212"/>
          <w:kern w:val="36"/>
          <w:sz w:val="28"/>
          <w:szCs w:val="28"/>
        </w:rPr>
        <w:t>Chương trình “Dân hỏi cơ quan chức năng trả lời” trên Cổng thông tin điện tử Nghệ An tại địa chỉ</w:t>
      </w:r>
      <w:r>
        <w:rPr>
          <w:rFonts w:ascii="Times New Roman" w:eastAsia="Times New Roman" w:hAnsi="Times New Roman" w:cs="Times New Roman"/>
          <w:color w:val="121212"/>
          <w:kern w:val="36"/>
          <w:sz w:val="28"/>
          <w:szCs w:val="28"/>
        </w:rPr>
        <w:t xml:space="preserve"> </w:t>
      </w:r>
      <w:hyperlink r:id="rId13" w:history="1">
        <w:r w:rsidRPr="000D581C">
          <w:rPr>
            <w:rFonts w:ascii="Times New Roman" w:eastAsia="Times New Roman" w:hAnsi="Times New Roman" w:cs="Times New Roman"/>
            <w:color w:val="121212"/>
            <w:kern w:val="36"/>
            <w:sz w:val="28"/>
            <w:szCs w:val="28"/>
          </w:rPr>
          <w:t>https://www.youtube.com/watch?v=U8dhZAill6A&amp;t=85s</w:t>
        </w:r>
      </w:hyperlink>
      <w:r w:rsidRPr="000D581C">
        <w:rPr>
          <w:rFonts w:ascii="Times New Roman" w:eastAsia="Times New Roman" w:hAnsi="Times New Roman" w:cs="Times New Roman"/>
          <w:color w:val="121212"/>
          <w:kern w:val="36"/>
          <w:sz w:val="28"/>
          <w:szCs w:val="28"/>
        </w:rPr>
        <w:t>;</w:t>
      </w:r>
    </w:p>
    <w:p w:rsidR="00F15F25" w:rsidRDefault="00F15F25" w:rsidP="00167158">
      <w:pPr>
        <w:tabs>
          <w:tab w:val="left" w:pos="851"/>
        </w:tabs>
        <w:spacing w:after="0" w:line="264" w:lineRule="auto"/>
        <w:ind w:firstLine="567"/>
        <w:jc w:val="both"/>
        <w:rPr>
          <w:color w:val="121212"/>
          <w:kern w:val="36"/>
          <w:szCs w:val="28"/>
        </w:rPr>
      </w:pPr>
      <w:r w:rsidRPr="000D581C">
        <w:rPr>
          <w:rFonts w:ascii="Times New Roman" w:eastAsia="Times New Roman" w:hAnsi="Times New Roman" w:cs="Times New Roman"/>
          <w:color w:val="121212"/>
          <w:kern w:val="36"/>
          <w:sz w:val="28"/>
          <w:szCs w:val="28"/>
        </w:rPr>
        <w:t>3.</w:t>
      </w:r>
      <w:r w:rsidRPr="000D581C">
        <w:rPr>
          <w:rFonts w:ascii="Times New Roman" w:eastAsia="Times New Roman" w:hAnsi="Times New Roman" w:cs="Times New Roman"/>
          <w:color w:val="121212"/>
          <w:kern w:val="36"/>
          <w:sz w:val="28"/>
          <w:szCs w:val="28"/>
        </w:rPr>
        <w:tab/>
      </w:r>
      <w:r>
        <w:rPr>
          <w:rFonts w:ascii="Times New Roman" w:eastAsia="Times New Roman" w:hAnsi="Times New Roman" w:cs="Times New Roman"/>
          <w:color w:val="121212"/>
          <w:kern w:val="36"/>
          <w:sz w:val="28"/>
          <w:szCs w:val="28"/>
        </w:rPr>
        <w:t>Trạm BTS có gây ảnh hưởng đến sức khỏe không</w:t>
      </w:r>
      <w:r w:rsidRPr="00F15F25">
        <w:rPr>
          <w:rFonts w:ascii="Times New Roman" w:eastAsia="Times New Roman" w:hAnsi="Times New Roman" w:cs="Times New Roman"/>
          <w:color w:val="121212"/>
          <w:kern w:val="36"/>
          <w:sz w:val="28"/>
          <w:szCs w:val="28"/>
        </w:rPr>
        <w:t xml:space="preserve"> tại địa chỉ </w:t>
      </w:r>
      <w:r>
        <w:rPr>
          <w:rFonts w:ascii="Times New Roman" w:eastAsia="Times New Roman" w:hAnsi="Times New Roman" w:cs="Times New Roman"/>
          <w:color w:val="121212"/>
          <w:kern w:val="36"/>
          <w:sz w:val="28"/>
          <w:szCs w:val="28"/>
        </w:rPr>
        <w:t xml:space="preserve"> </w:t>
      </w:r>
      <w:hyperlink r:id="rId14" w:history="1">
        <w:r w:rsidRPr="00573E77">
          <w:rPr>
            <w:rFonts w:ascii="Times New Roman" w:eastAsia="Times New Roman" w:hAnsi="Times New Roman" w:cs="Times New Roman"/>
            <w:color w:val="121212"/>
            <w:kern w:val="36"/>
            <w:sz w:val="28"/>
            <w:szCs w:val="28"/>
          </w:rPr>
          <w:t>https://www.youtube.com/watch?v=CZENPBdRGEQ</w:t>
        </w:r>
      </w:hyperlink>
      <w:r>
        <w:rPr>
          <w:color w:val="121212"/>
          <w:kern w:val="36"/>
          <w:szCs w:val="28"/>
        </w:rPr>
        <w:t>.</w:t>
      </w:r>
    </w:p>
    <w:p w:rsidR="00984E4C" w:rsidRPr="00984E4C" w:rsidRDefault="00984E4C" w:rsidP="00984E4C">
      <w:pPr>
        <w:spacing w:after="0" w:line="264" w:lineRule="auto"/>
        <w:ind w:firstLine="567"/>
        <w:jc w:val="both"/>
        <w:rPr>
          <w:rFonts w:ascii="Times New Roman" w:eastAsia="Times New Roman" w:hAnsi="Times New Roman" w:cs="Times New Roman"/>
          <w:color w:val="121212"/>
          <w:kern w:val="36"/>
          <w:sz w:val="28"/>
          <w:szCs w:val="28"/>
        </w:rPr>
      </w:pPr>
      <w:r w:rsidRPr="00984E4C">
        <w:rPr>
          <w:rFonts w:ascii="Times New Roman" w:eastAsia="Times New Roman" w:hAnsi="Times New Roman" w:cs="Times New Roman"/>
          <w:color w:val="121212"/>
          <w:kern w:val="36"/>
          <w:sz w:val="28"/>
          <w:szCs w:val="28"/>
        </w:rPr>
        <w:t>Ngoài ra một số Sở Thông tin và Truyền thông đã có các chương trình tuyên truyền, phổ biến thông tin liên quan an toàn phơi nhiễm của trạm BTS như: Sở TTTT tỉnh Bà Rịa-Vũng Tàu (297/STTTT-VTCNTT ngày 04/3/2019); Sở TTTT tỉnh Gia Lai (519/STTTT-BCVT ngày 20/4/2020); Phòng Văn hóa và Thông tin, thành phố Nha Trang (1542/VHTT-BCVT ngày 03/12/2019)…</w:t>
      </w:r>
    </w:p>
    <w:p w:rsidR="00984E4C" w:rsidRPr="00984E4C" w:rsidRDefault="00984E4C" w:rsidP="00984E4C">
      <w:pPr>
        <w:spacing w:after="0" w:line="264" w:lineRule="auto"/>
        <w:ind w:firstLine="567"/>
        <w:jc w:val="both"/>
        <w:rPr>
          <w:rFonts w:ascii="Times New Roman" w:eastAsia="Times New Roman" w:hAnsi="Times New Roman" w:cs="Times New Roman"/>
          <w:color w:val="121212"/>
          <w:kern w:val="36"/>
          <w:sz w:val="28"/>
          <w:szCs w:val="28"/>
        </w:rPr>
      </w:pPr>
      <w:r w:rsidRPr="00984E4C">
        <w:rPr>
          <w:rFonts w:ascii="Times New Roman" w:eastAsia="Times New Roman" w:hAnsi="Times New Roman" w:cs="Times New Roman"/>
          <w:color w:val="121212"/>
          <w:kern w:val="36"/>
          <w:sz w:val="28"/>
          <w:szCs w:val="28"/>
        </w:rPr>
        <w:t>Trên trang website của nhiều Sở TTTT đều có các bài viết tuyên truyền về an toàn phơi nhiễm của các trạm BTS như : Sở TTTT tỉnh Thái Bình</w:t>
      </w:r>
      <w:r>
        <w:rPr>
          <w:rStyle w:val="FootnoteReference"/>
          <w:rFonts w:ascii="Times New Roman" w:eastAsia="Times New Roman" w:hAnsi="Times New Roman" w:cs="Times New Roman"/>
          <w:color w:val="121212"/>
          <w:kern w:val="36"/>
          <w:sz w:val="28"/>
          <w:szCs w:val="28"/>
        </w:rPr>
        <w:footnoteReference w:id="6"/>
      </w:r>
      <w:r w:rsidRPr="00984E4C">
        <w:rPr>
          <w:rFonts w:ascii="Times New Roman" w:eastAsia="Times New Roman" w:hAnsi="Times New Roman" w:cs="Times New Roman"/>
          <w:color w:val="121212"/>
          <w:kern w:val="36"/>
          <w:sz w:val="28"/>
          <w:szCs w:val="28"/>
        </w:rPr>
        <w:t>; Sở TTTT tỉnh Khánh Hòa</w:t>
      </w:r>
      <w:r w:rsidR="00B511A6">
        <w:rPr>
          <w:rStyle w:val="FootnoteReference"/>
          <w:rFonts w:ascii="Times New Roman" w:eastAsia="Times New Roman" w:hAnsi="Times New Roman" w:cs="Times New Roman"/>
          <w:color w:val="121212"/>
          <w:kern w:val="36"/>
          <w:sz w:val="28"/>
          <w:szCs w:val="28"/>
        </w:rPr>
        <w:footnoteReference w:id="7"/>
      </w:r>
      <w:r w:rsidRPr="00984E4C">
        <w:rPr>
          <w:rFonts w:ascii="Times New Roman" w:eastAsia="Times New Roman" w:hAnsi="Times New Roman" w:cs="Times New Roman"/>
          <w:color w:val="121212"/>
          <w:kern w:val="36"/>
          <w:sz w:val="28"/>
          <w:szCs w:val="28"/>
        </w:rPr>
        <w:t>, Sở TTTT tỉnh Kom Tum</w:t>
      </w:r>
      <w:r w:rsidR="00B511A6">
        <w:rPr>
          <w:rStyle w:val="FootnoteReference"/>
          <w:rFonts w:ascii="Times New Roman" w:eastAsia="Times New Roman" w:hAnsi="Times New Roman" w:cs="Times New Roman"/>
          <w:color w:val="121212"/>
          <w:kern w:val="36"/>
          <w:sz w:val="28"/>
          <w:szCs w:val="28"/>
        </w:rPr>
        <w:footnoteReference w:id="8"/>
      </w:r>
      <w:r w:rsidRPr="00984E4C">
        <w:rPr>
          <w:rFonts w:ascii="Times New Roman" w:eastAsia="Times New Roman" w:hAnsi="Times New Roman" w:cs="Times New Roman"/>
          <w:color w:val="121212"/>
          <w:kern w:val="36"/>
          <w:sz w:val="28"/>
          <w:szCs w:val="28"/>
        </w:rPr>
        <w:t xml:space="preserve">… </w:t>
      </w:r>
    </w:p>
    <w:p w:rsidR="00B511A6" w:rsidRPr="003F7C50" w:rsidRDefault="00B511A6" w:rsidP="00B511A6">
      <w:pPr>
        <w:spacing w:before="240" w:after="0" w:line="264" w:lineRule="auto"/>
        <w:jc w:val="both"/>
        <w:rPr>
          <w:rFonts w:ascii="Times New Roman" w:eastAsia="Times New Roman" w:hAnsi="Times New Roman" w:cs="Times New Roman"/>
          <w:b/>
          <w:color w:val="121212"/>
          <w:kern w:val="36"/>
          <w:sz w:val="28"/>
          <w:szCs w:val="28"/>
        </w:rPr>
      </w:pPr>
      <w:r w:rsidRPr="003F7C50">
        <w:rPr>
          <w:rFonts w:ascii="Times New Roman" w:eastAsia="Times New Roman" w:hAnsi="Times New Roman" w:cs="Times New Roman"/>
          <w:b/>
          <w:color w:val="121212"/>
          <w:kern w:val="36"/>
          <w:sz w:val="28"/>
          <w:szCs w:val="28"/>
        </w:rPr>
        <w:t>I</w:t>
      </w:r>
      <w:r>
        <w:rPr>
          <w:rFonts w:ascii="Times New Roman" w:eastAsia="Times New Roman" w:hAnsi="Times New Roman" w:cs="Times New Roman"/>
          <w:b/>
          <w:color w:val="121212"/>
          <w:kern w:val="36"/>
          <w:sz w:val="28"/>
          <w:szCs w:val="28"/>
        </w:rPr>
        <w:t>V</w:t>
      </w:r>
      <w:r w:rsidRPr="003F7C50">
        <w:rPr>
          <w:rFonts w:ascii="Times New Roman" w:eastAsia="Times New Roman" w:hAnsi="Times New Roman" w:cs="Times New Roman"/>
          <w:b/>
          <w:color w:val="121212"/>
          <w:kern w:val="36"/>
          <w:sz w:val="28"/>
          <w:szCs w:val="28"/>
        </w:rPr>
        <w:t>-</w:t>
      </w:r>
      <w:r w:rsidRPr="003F7C50">
        <w:rPr>
          <w:rFonts w:ascii="Times New Roman" w:eastAsia="Times New Roman" w:hAnsi="Times New Roman" w:cs="Times New Roman"/>
          <w:b/>
          <w:color w:val="121212"/>
          <w:kern w:val="36"/>
          <w:sz w:val="28"/>
          <w:szCs w:val="28"/>
        </w:rPr>
        <w:tab/>
      </w:r>
      <w:r>
        <w:rPr>
          <w:rFonts w:ascii="Times New Roman" w:eastAsia="Times New Roman" w:hAnsi="Times New Roman" w:cs="Times New Roman"/>
          <w:b/>
          <w:color w:val="121212"/>
          <w:kern w:val="36"/>
          <w:sz w:val="28"/>
          <w:szCs w:val="28"/>
        </w:rPr>
        <w:t>KIẾN NGHỊ ĐỀ XUẤT</w:t>
      </w:r>
    </w:p>
    <w:p w:rsidR="000D581C" w:rsidRDefault="00B511A6" w:rsidP="00E13ED8">
      <w:pPr>
        <w:spacing w:after="0" w:line="264" w:lineRule="auto"/>
        <w:ind w:firstLine="567"/>
        <w:jc w:val="both"/>
        <w:rPr>
          <w:rFonts w:ascii="Times New Roman" w:eastAsia="Times New Roman" w:hAnsi="Times New Roman" w:cs="Times New Roman"/>
          <w:color w:val="121212"/>
          <w:kern w:val="36"/>
          <w:sz w:val="28"/>
          <w:szCs w:val="28"/>
        </w:rPr>
      </w:pPr>
      <w:r>
        <w:rPr>
          <w:rFonts w:ascii="Times New Roman" w:eastAsia="Times New Roman" w:hAnsi="Times New Roman" w:cs="Times New Roman"/>
          <w:color w:val="121212"/>
          <w:kern w:val="36"/>
          <w:sz w:val="28"/>
          <w:szCs w:val="28"/>
        </w:rPr>
        <w:t xml:space="preserve">Đề nghị các </w:t>
      </w:r>
      <w:r w:rsidR="00984E4C" w:rsidRPr="00984E4C">
        <w:rPr>
          <w:rFonts w:ascii="Times New Roman" w:eastAsia="Times New Roman" w:hAnsi="Times New Roman" w:cs="Times New Roman"/>
          <w:color w:val="121212"/>
          <w:kern w:val="36"/>
          <w:sz w:val="28"/>
          <w:szCs w:val="28"/>
        </w:rPr>
        <w:t xml:space="preserve">Sở TTTT nghiên cứu, tham khảo xây dựng các chương trình tuyên truyền hoặc có các bài viết tuyên truyền trên trang website của quý sở để thông tin cho người dân được biết </w:t>
      </w:r>
      <w:r>
        <w:rPr>
          <w:rFonts w:ascii="Times New Roman" w:eastAsia="Times New Roman" w:hAnsi="Times New Roman" w:cs="Times New Roman"/>
          <w:color w:val="121212"/>
          <w:kern w:val="36"/>
          <w:sz w:val="28"/>
          <w:szCs w:val="28"/>
        </w:rPr>
        <w:t xml:space="preserve">về vấn đề an toàn sóng điện từ của các trạm BTS </w:t>
      </w:r>
      <w:r w:rsidR="00984E4C" w:rsidRPr="00984E4C">
        <w:rPr>
          <w:rFonts w:ascii="Times New Roman" w:eastAsia="Times New Roman" w:hAnsi="Times New Roman" w:cs="Times New Roman"/>
          <w:color w:val="121212"/>
          <w:kern w:val="36"/>
          <w:sz w:val="28"/>
          <w:szCs w:val="28"/>
        </w:rPr>
        <w:t>và tháo gỡ khó khăn trong việc phát triển các trạm BTS</w:t>
      </w:r>
      <w:r>
        <w:rPr>
          <w:rFonts w:ascii="Times New Roman" w:eastAsia="Times New Roman" w:hAnsi="Times New Roman" w:cs="Times New Roman"/>
          <w:color w:val="121212"/>
          <w:kern w:val="36"/>
          <w:sz w:val="28"/>
          <w:szCs w:val="28"/>
        </w:rPr>
        <w:t xml:space="preserve"> nhằm đảm bảo chất lượng dịch vụ viễn thông di động</w:t>
      </w:r>
      <w:r w:rsidR="00984E4C" w:rsidRPr="00984E4C">
        <w:rPr>
          <w:rFonts w:ascii="Times New Roman" w:eastAsia="Times New Roman" w:hAnsi="Times New Roman" w:cs="Times New Roman"/>
          <w:color w:val="121212"/>
          <w:kern w:val="36"/>
          <w:sz w:val="28"/>
          <w:szCs w:val="28"/>
        </w:rPr>
        <w:t>.</w:t>
      </w:r>
    </w:p>
    <w:p w:rsidR="00B7503A" w:rsidRDefault="00B7503A" w:rsidP="00E13ED8">
      <w:pPr>
        <w:spacing w:after="0" w:line="264" w:lineRule="auto"/>
        <w:ind w:firstLine="567"/>
        <w:jc w:val="both"/>
        <w:rPr>
          <w:rFonts w:ascii="Times New Roman" w:eastAsia="Times New Roman" w:hAnsi="Times New Roman" w:cs="Times New Roman"/>
          <w:color w:val="121212"/>
          <w:kern w:val="36"/>
          <w:sz w:val="28"/>
          <w:szCs w:val="28"/>
        </w:rPr>
      </w:pPr>
    </w:p>
    <w:p w:rsidR="00587344" w:rsidRDefault="00587344" w:rsidP="00E13ED8">
      <w:pPr>
        <w:spacing w:after="0" w:line="264" w:lineRule="auto"/>
        <w:ind w:firstLine="567"/>
        <w:jc w:val="both"/>
        <w:rPr>
          <w:rFonts w:ascii="Times New Roman" w:eastAsia="Times New Roman" w:hAnsi="Times New Roman" w:cs="Times New Roman"/>
          <w:color w:val="121212"/>
          <w:kern w:val="36"/>
          <w:sz w:val="28"/>
          <w:szCs w:val="28"/>
        </w:rPr>
      </w:pPr>
    </w:p>
    <w:p w:rsidR="00587344" w:rsidRDefault="00587344" w:rsidP="00E13ED8">
      <w:pPr>
        <w:spacing w:after="0" w:line="264" w:lineRule="auto"/>
        <w:ind w:firstLine="567"/>
        <w:jc w:val="both"/>
        <w:rPr>
          <w:rFonts w:ascii="Times New Roman" w:eastAsia="Times New Roman" w:hAnsi="Times New Roman" w:cs="Times New Roman"/>
          <w:color w:val="121212"/>
          <w:kern w:val="36"/>
          <w:sz w:val="28"/>
          <w:szCs w:val="28"/>
        </w:rPr>
      </w:pPr>
    </w:p>
    <w:p w:rsidR="00587344" w:rsidRDefault="00587344" w:rsidP="00E13ED8">
      <w:pPr>
        <w:spacing w:after="0" w:line="264" w:lineRule="auto"/>
        <w:ind w:firstLine="567"/>
        <w:jc w:val="both"/>
        <w:rPr>
          <w:rFonts w:ascii="Times New Roman" w:eastAsia="Times New Roman" w:hAnsi="Times New Roman" w:cs="Times New Roman"/>
          <w:color w:val="121212"/>
          <w:kern w:val="36"/>
          <w:sz w:val="28"/>
          <w:szCs w:val="28"/>
        </w:rPr>
      </w:pPr>
    </w:p>
    <w:p w:rsidR="00587344" w:rsidRDefault="00587344" w:rsidP="00E13ED8">
      <w:pPr>
        <w:spacing w:after="0" w:line="264" w:lineRule="auto"/>
        <w:ind w:firstLine="567"/>
        <w:jc w:val="both"/>
        <w:rPr>
          <w:rFonts w:ascii="Times New Roman" w:eastAsia="Times New Roman" w:hAnsi="Times New Roman" w:cs="Times New Roman"/>
          <w:color w:val="121212"/>
          <w:kern w:val="36"/>
          <w:sz w:val="28"/>
          <w:szCs w:val="28"/>
        </w:rPr>
      </w:pPr>
    </w:p>
    <w:p w:rsidR="00587344" w:rsidRDefault="00587344" w:rsidP="00E13ED8">
      <w:pPr>
        <w:spacing w:after="0" w:line="264" w:lineRule="auto"/>
        <w:ind w:firstLine="567"/>
        <w:jc w:val="both"/>
        <w:rPr>
          <w:rFonts w:ascii="Times New Roman" w:eastAsia="Times New Roman" w:hAnsi="Times New Roman" w:cs="Times New Roman"/>
          <w:color w:val="121212"/>
          <w:kern w:val="36"/>
          <w:sz w:val="28"/>
          <w:szCs w:val="28"/>
        </w:rPr>
      </w:pPr>
    </w:p>
    <w:p w:rsidR="00B7503A" w:rsidRDefault="00B7503A" w:rsidP="00E13ED8">
      <w:pPr>
        <w:spacing w:after="0" w:line="264" w:lineRule="auto"/>
        <w:ind w:firstLine="567"/>
        <w:jc w:val="both"/>
        <w:rPr>
          <w:rFonts w:ascii="Times New Roman" w:eastAsia="Times New Roman" w:hAnsi="Times New Roman" w:cs="Times New Roman"/>
          <w:color w:val="121212"/>
          <w:kern w:val="36"/>
          <w:sz w:val="28"/>
          <w:szCs w:val="28"/>
        </w:rPr>
      </w:pPr>
    </w:p>
    <w:p w:rsidR="00587344" w:rsidRDefault="00587344" w:rsidP="00E13ED8">
      <w:pPr>
        <w:spacing w:after="0" w:line="264" w:lineRule="auto"/>
        <w:ind w:firstLine="567"/>
        <w:jc w:val="both"/>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ICNIRP - International Commission on Non-Ionizing Radiation Protection</w:t>
      </w:r>
    </w:p>
    <w:p w:rsidR="00587344" w:rsidRDefault="00587344" w:rsidP="00E13ED8">
      <w:pPr>
        <w:spacing w:after="0" w:line="264" w:lineRule="auto"/>
        <w:ind w:firstLine="567"/>
        <w:jc w:val="both"/>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WHO – World Health Organization</w:t>
      </w:r>
    </w:p>
    <w:p w:rsidR="00DA4480" w:rsidRDefault="00587344" w:rsidP="00E13ED8">
      <w:pPr>
        <w:spacing w:after="0" w:line="264" w:lineRule="auto"/>
        <w:ind w:firstLine="567"/>
        <w:jc w:val="both"/>
        <w:rPr>
          <w:rFonts w:ascii="Times New Roman" w:eastAsia="Times New Roman" w:hAnsi="Times New Roman" w:cs="Times New Roman"/>
          <w:color w:val="121212"/>
          <w:kern w:val="36"/>
          <w:sz w:val="28"/>
          <w:szCs w:val="28"/>
        </w:rPr>
      </w:pPr>
      <w:r>
        <w:rPr>
          <w:rFonts w:ascii="Helvetica" w:hAnsi="Helvetica" w:cs="Helvetica"/>
          <w:color w:val="333333"/>
          <w:sz w:val="20"/>
          <w:szCs w:val="20"/>
          <w:shd w:val="clear" w:color="auto" w:fill="FFFFFF"/>
        </w:rPr>
        <w:t xml:space="preserve">IEEE - Institute of Electrical and Electronic Engineers </w:t>
      </w:r>
    </w:p>
    <w:p w:rsidR="00DA4480" w:rsidRPr="007F12BE" w:rsidRDefault="00DA4480" w:rsidP="00587344">
      <w:pPr>
        <w:spacing w:after="0" w:line="264" w:lineRule="auto"/>
        <w:jc w:val="center"/>
        <w:rPr>
          <w:rFonts w:ascii="Times New Roman" w:eastAsia="Times New Roman" w:hAnsi="Times New Roman" w:cs="Times New Roman"/>
          <w:color w:val="121212"/>
          <w:kern w:val="36"/>
          <w:sz w:val="28"/>
          <w:szCs w:val="28"/>
        </w:rPr>
      </w:pPr>
      <w:r>
        <w:rPr>
          <w:rFonts w:ascii="Times New Roman" w:eastAsia="Times New Roman" w:hAnsi="Times New Roman" w:cs="Times New Roman"/>
          <w:noProof/>
          <w:color w:val="121212"/>
          <w:kern w:val="36"/>
          <w:sz w:val="28"/>
          <w:szCs w:val="28"/>
          <w:lang w:val="vi-VN" w:eastAsia="vi-VN"/>
        </w:rPr>
        <w:drawing>
          <wp:inline distT="0" distB="0" distL="0" distR="0">
            <wp:extent cx="5040000" cy="1162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0000" cy="1162800"/>
                    </a:xfrm>
                    <a:prstGeom prst="rect">
                      <a:avLst/>
                    </a:prstGeom>
                    <a:noFill/>
                    <a:ln>
                      <a:noFill/>
                    </a:ln>
                  </pic:spPr>
                </pic:pic>
              </a:graphicData>
            </a:graphic>
          </wp:inline>
        </w:drawing>
      </w:r>
    </w:p>
    <w:sectPr w:rsidR="00DA4480" w:rsidRPr="007F12BE" w:rsidSect="0072595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03" w:rsidRDefault="003C5503" w:rsidP="00A33A22">
      <w:pPr>
        <w:spacing w:after="0" w:line="240" w:lineRule="auto"/>
      </w:pPr>
      <w:r>
        <w:separator/>
      </w:r>
    </w:p>
  </w:endnote>
  <w:endnote w:type="continuationSeparator" w:id="0">
    <w:p w:rsidR="003C5503" w:rsidRDefault="003C5503" w:rsidP="00A3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03" w:rsidRDefault="003C5503" w:rsidP="00A33A22">
      <w:pPr>
        <w:spacing w:after="0" w:line="240" w:lineRule="auto"/>
      </w:pPr>
      <w:r>
        <w:separator/>
      </w:r>
    </w:p>
  </w:footnote>
  <w:footnote w:type="continuationSeparator" w:id="0">
    <w:p w:rsidR="003C5503" w:rsidRDefault="003C5503" w:rsidP="00A33A22">
      <w:pPr>
        <w:spacing w:after="0" w:line="240" w:lineRule="auto"/>
      </w:pPr>
      <w:r>
        <w:continuationSeparator/>
      </w:r>
    </w:p>
  </w:footnote>
  <w:footnote w:id="1">
    <w:p w:rsidR="00B511A6" w:rsidRDefault="00B511A6" w:rsidP="00B511A6">
      <w:pPr>
        <w:pStyle w:val="FootnoteText"/>
      </w:pPr>
      <w:r>
        <w:rPr>
          <w:rStyle w:val="FootnoteReference"/>
        </w:rPr>
        <w:footnoteRef/>
      </w:r>
      <w:r>
        <w:t xml:space="preserve"> </w:t>
      </w:r>
      <w:hyperlink r:id="rId1" w:history="1">
        <w:r>
          <w:rPr>
            <w:rStyle w:val="Hyperlink"/>
          </w:rPr>
          <w:t>https://www.who.int/news-room/fact-sheets/detail/electromagnetic-fields-and-public-health-mobile-phones</w:t>
        </w:r>
      </w:hyperlink>
    </w:p>
  </w:footnote>
  <w:footnote w:id="2">
    <w:p w:rsidR="00A33A22" w:rsidRDefault="00A33A22">
      <w:pPr>
        <w:pStyle w:val="FootnoteText"/>
      </w:pPr>
      <w:r>
        <w:rPr>
          <w:rStyle w:val="FootnoteReference"/>
        </w:rPr>
        <w:footnoteRef/>
      </w:r>
      <w:r>
        <w:t xml:space="preserve"> Trang website của ICNIRP : </w:t>
      </w:r>
      <w:hyperlink r:id="rId2" w:history="1">
        <w:r>
          <w:rPr>
            <w:rStyle w:val="Hyperlink"/>
          </w:rPr>
          <w:t>https://www.icnirp.org/</w:t>
        </w:r>
      </w:hyperlink>
    </w:p>
  </w:footnote>
  <w:footnote w:id="3">
    <w:p w:rsidR="00A33A22" w:rsidRDefault="00A33A22">
      <w:pPr>
        <w:pStyle w:val="FootnoteText"/>
      </w:pPr>
      <w:r>
        <w:rPr>
          <w:rStyle w:val="FootnoteReference"/>
        </w:rPr>
        <w:footnoteRef/>
      </w:r>
      <w:r>
        <w:t xml:space="preserve"> </w:t>
      </w:r>
      <w:hyperlink r:id="rId3" w:history="1">
        <w:r>
          <w:rPr>
            <w:rStyle w:val="Hyperlink"/>
          </w:rPr>
          <w:t>https://www.icnirp.org/cms/upload/publications/ICNIRPrfgdl2020.pdf</w:t>
        </w:r>
      </w:hyperlink>
    </w:p>
  </w:footnote>
  <w:footnote w:id="4">
    <w:p w:rsidR="009B70D8" w:rsidRDefault="009B70D8">
      <w:pPr>
        <w:pStyle w:val="FootnoteText"/>
      </w:pPr>
      <w:r>
        <w:rPr>
          <w:rStyle w:val="FootnoteReference"/>
        </w:rPr>
        <w:footnoteRef/>
      </w:r>
      <w:r>
        <w:t xml:space="preserve"> </w:t>
      </w:r>
      <w:hyperlink r:id="rId4" w:history="1">
        <w:r>
          <w:rPr>
            <w:rStyle w:val="Hyperlink"/>
          </w:rPr>
          <w:t>https://www.who.int/news-room/q-a-detail/5g-mobile-networks-and-health</w:t>
        </w:r>
      </w:hyperlink>
    </w:p>
  </w:footnote>
  <w:footnote w:id="5">
    <w:p w:rsidR="008E6A4A" w:rsidRDefault="008E6A4A">
      <w:pPr>
        <w:pStyle w:val="FootnoteText"/>
      </w:pPr>
      <w:r>
        <w:rPr>
          <w:rStyle w:val="FootnoteReference"/>
        </w:rPr>
        <w:footnoteRef/>
      </w:r>
      <w:r>
        <w:t xml:space="preserve"> </w:t>
      </w:r>
      <w:hyperlink r:id="rId5" w:history="1">
        <w:r>
          <w:rPr>
            <w:rStyle w:val="Hyperlink"/>
          </w:rPr>
          <w:t>https://www.gsma.com/publicpolicy/wp-content/uploads/2019/06/Safety_of_5G_Mobile_Networks.pdf</w:t>
        </w:r>
      </w:hyperlink>
    </w:p>
  </w:footnote>
  <w:footnote w:id="6">
    <w:p w:rsidR="00984E4C" w:rsidRDefault="00984E4C">
      <w:pPr>
        <w:pStyle w:val="FootnoteText"/>
      </w:pPr>
      <w:r>
        <w:rPr>
          <w:rStyle w:val="FootnoteReference"/>
        </w:rPr>
        <w:footnoteRef/>
      </w:r>
      <w:r>
        <w:t xml:space="preserve"> </w:t>
      </w:r>
      <w:hyperlink r:id="rId6" w:history="1">
        <w:r>
          <w:rPr>
            <w:rStyle w:val="Hyperlink"/>
          </w:rPr>
          <w:t>https://thaibinh.gov.vn/tin-tuc/van-hoa-xa-hoi/tram-thu-phat-thong-tin-di-dong-khong-gay-anh-huong-co-hai-t2.html</w:t>
        </w:r>
      </w:hyperlink>
    </w:p>
  </w:footnote>
  <w:footnote w:id="7">
    <w:p w:rsidR="00B511A6" w:rsidRDefault="00B511A6">
      <w:pPr>
        <w:pStyle w:val="FootnoteText"/>
      </w:pPr>
      <w:r>
        <w:rPr>
          <w:rStyle w:val="FootnoteReference"/>
        </w:rPr>
        <w:footnoteRef/>
      </w:r>
      <w:r>
        <w:t xml:space="preserve"> </w:t>
      </w:r>
      <w:hyperlink r:id="rId7" w:history="1">
        <w:r>
          <w:rPr>
            <w:rStyle w:val="Hyperlink"/>
          </w:rPr>
          <w:t>https://stttt.khanhhoa.gov.vn/?ArticleId=486260a9-9ab2-4fa4-8542-dce2ac5df645</w:t>
        </w:r>
      </w:hyperlink>
    </w:p>
  </w:footnote>
  <w:footnote w:id="8">
    <w:p w:rsidR="00B511A6" w:rsidRDefault="00B511A6">
      <w:pPr>
        <w:pStyle w:val="FootnoteText"/>
      </w:pPr>
      <w:r>
        <w:rPr>
          <w:rStyle w:val="FootnoteReference"/>
        </w:rPr>
        <w:footnoteRef/>
      </w:r>
      <w:r>
        <w:t xml:space="preserve"> </w:t>
      </w:r>
      <w:hyperlink r:id="rId8" w:history="1">
        <w:r>
          <w:rPr>
            <w:rStyle w:val="Hyperlink"/>
          </w:rPr>
          <w:t>https://kontum.gov.vn/pages/detail/5994/Thong-tin-can-biet.html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82"/>
    <w:rsid w:val="000B6635"/>
    <w:rsid w:val="000C18F4"/>
    <w:rsid w:val="000D581C"/>
    <w:rsid w:val="00167158"/>
    <w:rsid w:val="00180A48"/>
    <w:rsid w:val="001E1BF6"/>
    <w:rsid w:val="00270A41"/>
    <w:rsid w:val="002A4342"/>
    <w:rsid w:val="002D153C"/>
    <w:rsid w:val="00326BEB"/>
    <w:rsid w:val="00364C08"/>
    <w:rsid w:val="003C5503"/>
    <w:rsid w:val="003F2A02"/>
    <w:rsid w:val="003F7C50"/>
    <w:rsid w:val="00441A3D"/>
    <w:rsid w:val="00505A95"/>
    <w:rsid w:val="00553200"/>
    <w:rsid w:val="005671C1"/>
    <w:rsid w:val="00573E77"/>
    <w:rsid w:val="00587344"/>
    <w:rsid w:val="00592209"/>
    <w:rsid w:val="00690FDF"/>
    <w:rsid w:val="006B066A"/>
    <w:rsid w:val="006E1576"/>
    <w:rsid w:val="007100A4"/>
    <w:rsid w:val="0072595C"/>
    <w:rsid w:val="00776759"/>
    <w:rsid w:val="00782310"/>
    <w:rsid w:val="007830DE"/>
    <w:rsid w:val="0078349A"/>
    <w:rsid w:val="007C69AE"/>
    <w:rsid w:val="007E7527"/>
    <w:rsid w:val="007F12BE"/>
    <w:rsid w:val="007F1720"/>
    <w:rsid w:val="00814F82"/>
    <w:rsid w:val="00826FD1"/>
    <w:rsid w:val="008E6A4A"/>
    <w:rsid w:val="00923A71"/>
    <w:rsid w:val="00984E4C"/>
    <w:rsid w:val="009B70D8"/>
    <w:rsid w:val="009F46EB"/>
    <w:rsid w:val="00A33A22"/>
    <w:rsid w:val="00AA44F7"/>
    <w:rsid w:val="00AB6DE8"/>
    <w:rsid w:val="00B060ED"/>
    <w:rsid w:val="00B50E3C"/>
    <w:rsid w:val="00B511A6"/>
    <w:rsid w:val="00B7503A"/>
    <w:rsid w:val="00BB7EBD"/>
    <w:rsid w:val="00BD1AEA"/>
    <w:rsid w:val="00CF59D3"/>
    <w:rsid w:val="00D327F8"/>
    <w:rsid w:val="00DA4480"/>
    <w:rsid w:val="00E13ED8"/>
    <w:rsid w:val="00E32A75"/>
    <w:rsid w:val="00E529EC"/>
    <w:rsid w:val="00E94C02"/>
    <w:rsid w:val="00E978C8"/>
    <w:rsid w:val="00F15F25"/>
    <w:rsid w:val="00FD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91BF2-FD72-48E1-9CE0-D2915826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4F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4F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F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14F82"/>
    <w:rPr>
      <w:color w:val="0000FF"/>
      <w:u w:val="single"/>
    </w:rPr>
  </w:style>
  <w:style w:type="character" w:customStyle="1" w:styleId="inline-triangle">
    <w:name w:val="inline-triangle"/>
    <w:basedOn w:val="DefaultParagraphFont"/>
    <w:rsid w:val="00814F82"/>
  </w:style>
  <w:style w:type="paragraph" w:styleId="NormalWeb">
    <w:name w:val="Normal (Web)"/>
    <w:basedOn w:val="Normal"/>
    <w:uiPriority w:val="99"/>
    <w:semiHidden/>
    <w:unhideWhenUsed/>
    <w:rsid w:val="00814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14F82"/>
    <w:rPr>
      <w:rFonts w:asciiTheme="majorHAnsi" w:eastAsiaTheme="majorEastAsia" w:hAnsiTheme="majorHAnsi" w:cstheme="majorBidi"/>
      <w:color w:val="2E74B5" w:themeColor="accent1" w:themeShade="BF"/>
      <w:sz w:val="26"/>
      <w:szCs w:val="26"/>
    </w:rPr>
  </w:style>
  <w:style w:type="paragraph" w:customStyle="1" w:styleId="css-1d8f1xa">
    <w:name w:val="css-1d8f1xa"/>
    <w:basedOn w:val="Normal"/>
    <w:rsid w:val="00814F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F82"/>
    <w:rPr>
      <w:b/>
      <w:bCs/>
    </w:rPr>
  </w:style>
  <w:style w:type="character" w:customStyle="1" w:styleId="css-ru5jm6">
    <w:name w:val="css-ru5jm6"/>
    <w:basedOn w:val="DefaultParagraphFont"/>
    <w:rsid w:val="00814F82"/>
  </w:style>
  <w:style w:type="character" w:customStyle="1" w:styleId="notranslate">
    <w:name w:val="notranslate"/>
    <w:basedOn w:val="DefaultParagraphFont"/>
    <w:rsid w:val="006E1576"/>
  </w:style>
  <w:style w:type="paragraph" w:styleId="BalloonText">
    <w:name w:val="Balloon Text"/>
    <w:basedOn w:val="Normal"/>
    <w:link w:val="BalloonTextChar"/>
    <w:uiPriority w:val="99"/>
    <w:semiHidden/>
    <w:unhideWhenUsed/>
    <w:rsid w:val="0032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BEB"/>
    <w:rPr>
      <w:rFonts w:ascii="Segoe UI" w:hAnsi="Segoe UI" w:cs="Segoe UI"/>
      <w:sz w:val="18"/>
      <w:szCs w:val="18"/>
    </w:rPr>
  </w:style>
  <w:style w:type="paragraph" w:styleId="ListParagraph">
    <w:name w:val="List Paragraph"/>
    <w:basedOn w:val="Normal"/>
    <w:uiPriority w:val="34"/>
    <w:qFormat/>
    <w:rsid w:val="00AA44F7"/>
    <w:pPr>
      <w:ind w:left="720"/>
      <w:contextualSpacing/>
    </w:pPr>
  </w:style>
  <w:style w:type="paragraph" w:styleId="FootnoteText">
    <w:name w:val="footnote text"/>
    <w:basedOn w:val="Normal"/>
    <w:link w:val="FootnoteTextChar"/>
    <w:uiPriority w:val="99"/>
    <w:semiHidden/>
    <w:unhideWhenUsed/>
    <w:rsid w:val="00A33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A22"/>
    <w:rPr>
      <w:sz w:val="20"/>
      <w:szCs w:val="20"/>
    </w:rPr>
  </w:style>
  <w:style w:type="character" w:styleId="FootnoteReference">
    <w:name w:val="footnote reference"/>
    <w:basedOn w:val="DefaultParagraphFont"/>
    <w:uiPriority w:val="99"/>
    <w:semiHidden/>
    <w:unhideWhenUsed/>
    <w:rsid w:val="00A33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0834">
      <w:bodyDiv w:val="1"/>
      <w:marLeft w:val="0"/>
      <w:marRight w:val="0"/>
      <w:marTop w:val="0"/>
      <w:marBottom w:val="0"/>
      <w:divBdr>
        <w:top w:val="none" w:sz="0" w:space="0" w:color="auto"/>
        <w:left w:val="none" w:sz="0" w:space="0" w:color="auto"/>
        <w:bottom w:val="none" w:sz="0" w:space="0" w:color="auto"/>
        <w:right w:val="none" w:sz="0" w:space="0" w:color="auto"/>
      </w:divBdr>
      <w:divsChild>
        <w:div w:id="1006521543">
          <w:marLeft w:val="0"/>
          <w:marRight w:val="0"/>
          <w:marTop w:val="0"/>
          <w:marBottom w:val="0"/>
          <w:divBdr>
            <w:top w:val="none" w:sz="0" w:space="0" w:color="auto"/>
            <w:left w:val="none" w:sz="0" w:space="0" w:color="auto"/>
            <w:bottom w:val="none" w:sz="0" w:space="0" w:color="auto"/>
            <w:right w:val="none" w:sz="0" w:space="0" w:color="auto"/>
          </w:divBdr>
        </w:div>
      </w:divsChild>
    </w:div>
    <w:div w:id="352653378">
      <w:bodyDiv w:val="1"/>
      <w:marLeft w:val="0"/>
      <w:marRight w:val="0"/>
      <w:marTop w:val="0"/>
      <w:marBottom w:val="0"/>
      <w:divBdr>
        <w:top w:val="none" w:sz="0" w:space="0" w:color="auto"/>
        <w:left w:val="none" w:sz="0" w:space="0" w:color="auto"/>
        <w:bottom w:val="none" w:sz="0" w:space="0" w:color="auto"/>
        <w:right w:val="none" w:sz="0" w:space="0" w:color="auto"/>
      </w:divBdr>
    </w:div>
    <w:div w:id="401173597">
      <w:bodyDiv w:val="1"/>
      <w:marLeft w:val="0"/>
      <w:marRight w:val="0"/>
      <w:marTop w:val="0"/>
      <w:marBottom w:val="0"/>
      <w:divBdr>
        <w:top w:val="none" w:sz="0" w:space="0" w:color="auto"/>
        <w:left w:val="none" w:sz="0" w:space="0" w:color="auto"/>
        <w:bottom w:val="none" w:sz="0" w:space="0" w:color="auto"/>
        <w:right w:val="none" w:sz="0" w:space="0" w:color="auto"/>
      </w:divBdr>
    </w:div>
    <w:div w:id="610432842">
      <w:bodyDiv w:val="1"/>
      <w:marLeft w:val="0"/>
      <w:marRight w:val="0"/>
      <w:marTop w:val="0"/>
      <w:marBottom w:val="0"/>
      <w:divBdr>
        <w:top w:val="none" w:sz="0" w:space="0" w:color="auto"/>
        <w:left w:val="none" w:sz="0" w:space="0" w:color="auto"/>
        <w:bottom w:val="none" w:sz="0" w:space="0" w:color="auto"/>
        <w:right w:val="none" w:sz="0" w:space="0" w:color="auto"/>
      </w:divBdr>
    </w:div>
    <w:div w:id="8015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U8dhZAill6A&amp;t=85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z3n7jVz0lb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jp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youtube.com/watch?v=CZENPBdRGEQ"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ontum.gov.vn/pages/detail/5994/Thong-tin-can-biet.html" TargetMode="External"/><Relationship Id="rId3" Type="http://schemas.openxmlformats.org/officeDocument/2006/relationships/hyperlink" Target="https://www.icnirp.org/cms/upload/publications/ICNIRPrfgdl2020.pdf" TargetMode="External"/><Relationship Id="rId7" Type="http://schemas.openxmlformats.org/officeDocument/2006/relationships/hyperlink" Target="https://stttt.khanhhoa.gov.vn/?ArticleId=486260a9-9ab2-4fa4-8542-dce2ac5df645" TargetMode="External"/><Relationship Id="rId2" Type="http://schemas.openxmlformats.org/officeDocument/2006/relationships/hyperlink" Target="https://www.icnirp.org/" TargetMode="External"/><Relationship Id="rId1" Type="http://schemas.openxmlformats.org/officeDocument/2006/relationships/hyperlink" Target="https://www.who.int/news-room/fact-sheets/detail/electromagnetic-fields-and-public-health-mobile-phones" TargetMode="External"/><Relationship Id="rId6" Type="http://schemas.openxmlformats.org/officeDocument/2006/relationships/hyperlink" Target="https://thaibinh.gov.vn/tin-tuc/van-hoa-xa-hoi/tram-thu-phat-thong-tin-di-dong-khong-gay-anh-huong-co-hai-t2.html" TargetMode="External"/><Relationship Id="rId5" Type="http://schemas.openxmlformats.org/officeDocument/2006/relationships/hyperlink" Target="https://www.gsma.com/publicpolicy/wp-content/uploads/2019/06/Safety_of_5G_Mobile_Networks.pdf" TargetMode="External"/><Relationship Id="rId4" Type="http://schemas.openxmlformats.org/officeDocument/2006/relationships/hyperlink" Target="https://www.who.int/news-room/q-a-detail/5g-mobile-networks-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F21EC-DF08-4734-BCD8-C7D58608864F}">
  <ds:schemaRefs>
    <ds:schemaRef ds:uri="http://schemas.openxmlformats.org/officeDocument/2006/bibliography"/>
  </ds:schemaRefs>
</ds:datastoreItem>
</file>

<file path=customXml/itemProps2.xml><?xml version="1.0" encoding="utf-8"?>
<ds:datastoreItem xmlns:ds="http://schemas.openxmlformats.org/officeDocument/2006/customXml" ds:itemID="{77954D0E-4990-4640-8F9B-72A03ED03F4B}"/>
</file>

<file path=customXml/itemProps3.xml><?xml version="1.0" encoding="utf-8"?>
<ds:datastoreItem xmlns:ds="http://schemas.openxmlformats.org/officeDocument/2006/customXml" ds:itemID="{E2D95E9E-17D7-4FDC-9D55-F87D2A8F5870}"/>
</file>

<file path=customXml/itemProps4.xml><?xml version="1.0" encoding="utf-8"?>
<ds:datastoreItem xmlns:ds="http://schemas.openxmlformats.org/officeDocument/2006/customXml" ds:itemID="{66C17C5A-AC6A-4312-831D-DD5CC8BC0DD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MyPC</cp:lastModifiedBy>
  <cp:revision>2</cp:revision>
  <cp:lastPrinted>2020-05-12T03:39:00Z</cp:lastPrinted>
  <dcterms:created xsi:type="dcterms:W3CDTF">2020-08-05T07:35:00Z</dcterms:created>
  <dcterms:modified xsi:type="dcterms:W3CDTF">2020-08-05T07:35:00Z</dcterms:modified>
</cp:coreProperties>
</file>